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C441D9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454F9C">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A1604E">
        <w:rPr>
          <w:bCs/>
          <w:noProof w:val="0"/>
          <w:sz w:val="24"/>
          <w:szCs w:val="24"/>
        </w:rPr>
        <w:t>001134</w:t>
      </w:r>
      <w:bookmarkStart w:id="0" w:name="_GoBack"/>
      <w:bookmarkEnd w:id="0"/>
    </w:p>
    <w:p w14:paraId="11776FA6" w14:textId="597AC295" w:rsidR="00A209D6" w:rsidRPr="00465587" w:rsidRDefault="00454F9C" w:rsidP="00A209D6">
      <w:pPr>
        <w:pStyle w:val="Header"/>
        <w:tabs>
          <w:tab w:val="right" w:pos="9639"/>
        </w:tabs>
        <w:rPr>
          <w:rFonts w:eastAsia="SimSun"/>
          <w:bCs/>
          <w:sz w:val="24"/>
          <w:szCs w:val="24"/>
          <w:lang w:eastAsia="zh-CN"/>
        </w:rPr>
      </w:pPr>
      <w:r w:rsidRPr="00454F9C">
        <w:rPr>
          <w:rFonts w:eastAsia="SimSun"/>
          <w:bCs/>
          <w:sz w:val="24"/>
          <w:szCs w:val="24"/>
          <w:lang w:eastAsia="zh-CN"/>
        </w:rPr>
        <w:t>Elbonia, Online, 24 February – 6 March 2020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3B23C4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A5BC5">
        <w:rPr>
          <w:rFonts w:cs="Arial"/>
          <w:b/>
          <w:bCs/>
          <w:sz w:val="24"/>
        </w:rPr>
        <w:t>4.5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13445D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5BC5">
        <w:rPr>
          <w:rFonts w:ascii="Arial" w:hAnsi="Arial" w:cs="Arial"/>
          <w:b/>
          <w:bCs/>
          <w:sz w:val="24"/>
        </w:rPr>
        <w:t>Interpretation of UE capabilities for intra-band non-contiguous CA</w:t>
      </w:r>
    </w:p>
    <w:p w14:paraId="1F147C23" w14:textId="794134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A5BC5" w:rsidRPr="00DA5BC5">
        <w:rPr>
          <w:rFonts w:ascii="Arial" w:hAnsi="Arial" w:cs="Arial"/>
          <w:b/>
          <w:bCs/>
          <w:sz w:val="24"/>
        </w:rPr>
        <w:t>LTE_CA-Core</w:t>
      </w:r>
      <w:r w:rsidR="00B03E2B">
        <w:rPr>
          <w:rFonts w:ascii="Arial" w:hAnsi="Arial" w:cs="Arial"/>
          <w:b/>
          <w:bCs/>
          <w:sz w:val="24"/>
        </w:rPr>
        <w:t>, TEI12</w:t>
      </w:r>
      <w:r w:rsidR="00DA5BC5" w:rsidRPr="00DA5BC5">
        <w:rPr>
          <w:rFonts w:ascii="Arial" w:hAnsi="Arial" w:cs="Arial"/>
          <w:b/>
          <w:bCs/>
          <w:sz w:val="24"/>
        </w:rPr>
        <w:t xml:space="preserve"> </w:t>
      </w:r>
      <w:r>
        <w:rPr>
          <w:rFonts w:ascii="Arial" w:hAnsi="Arial" w:cs="Arial"/>
          <w:b/>
          <w:bCs/>
          <w:sz w:val="24"/>
        </w:rPr>
        <w:t xml:space="preserve">- Release </w:t>
      </w:r>
      <w:r w:rsidR="00DA5BC5">
        <w:rPr>
          <w:rFonts w:ascii="Arial" w:hAnsi="Arial" w:cs="Arial"/>
          <w:b/>
          <w:bCs/>
          <w:sz w:val="24"/>
        </w:rPr>
        <w:t>1</w:t>
      </w:r>
      <w:r w:rsidR="00B03E2B">
        <w:rPr>
          <w:rFonts w:ascii="Arial" w:hAnsi="Arial" w:cs="Arial"/>
          <w:b/>
          <w:bCs/>
          <w:sz w:val="24"/>
        </w:rPr>
        <w:t>2</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184D4F3" w:rsidR="007F2E08" w:rsidRPr="006E13D1" w:rsidRDefault="00D36F60" w:rsidP="00A209D6">
      <w:r>
        <w:t xml:space="preserve">This contribution discusses the interpretation of UE capabilities for band combinations with intra-band non-contiguous components. In particular, we discuss how network should interpret UE capabilities for cases </w:t>
      </w:r>
    </w:p>
    <w:p w14:paraId="2BBFF540" w14:textId="0531A3F5" w:rsidR="00A209D6" w:rsidRPr="006E13D1" w:rsidRDefault="00A209D6" w:rsidP="00A209D6">
      <w:pPr>
        <w:pStyle w:val="Heading1"/>
      </w:pPr>
      <w:r w:rsidRPr="006E13D1">
        <w:t>2</w:t>
      </w:r>
      <w:r w:rsidRPr="006E13D1">
        <w:tab/>
      </w:r>
      <w:r w:rsidR="00316159">
        <w:t>UE capabilities for intra-band CA</w:t>
      </w:r>
      <w:r w:rsidR="00D56D8E">
        <w:t xml:space="preserve"> band combinations</w:t>
      </w:r>
    </w:p>
    <w:p w14:paraId="50626AD9" w14:textId="6725D5DB" w:rsidR="00316159" w:rsidRPr="006E13D1" w:rsidRDefault="00316159" w:rsidP="00316159">
      <w:pPr>
        <w:pStyle w:val="Heading2"/>
      </w:pPr>
      <w:r>
        <w:t>2</w:t>
      </w:r>
      <w:r w:rsidRPr="006E13D1">
        <w:t>.1</w:t>
      </w:r>
      <w:r w:rsidRPr="006E13D1">
        <w:tab/>
      </w:r>
      <w:r w:rsidR="00D56D8E">
        <w:t>Difference of UE capabilities for i</w:t>
      </w:r>
      <w:r>
        <w:t>ntra-band contiguous and non-contiguous CA</w:t>
      </w:r>
      <w:r w:rsidRPr="006E13D1">
        <w:t xml:space="preserve"> </w:t>
      </w:r>
    </w:p>
    <w:p w14:paraId="028EB557" w14:textId="7FB982E4" w:rsidR="00D36F60" w:rsidRDefault="00D36F60" w:rsidP="00A209D6">
      <w:r>
        <w:t>While inter-band CA always consists of two or more disparate frequency blocks, Intra-band CA comes in two flavors: Intra-band contiguous CA (with at least two carriers aggregated together without frequency gaps) and intra-band non-contiguous CA (with at least two carriers aggregated together so that there is a frequency gap between the aggregated carriers). And naturally, all of these options may also be combined together: A band combination may be for inter-band CA, with the band entries for one band forming intra-band contiguous and intra-band non-contiguous CA. This is depicted in Figure 1 below.</w:t>
      </w:r>
    </w:p>
    <w:p w14:paraId="698F8749" w14:textId="4B4C5907" w:rsidR="00B802F5" w:rsidRDefault="00B802F5" w:rsidP="00B802F5">
      <w:pPr>
        <w:pStyle w:val="TH"/>
      </w:pPr>
      <w:r>
        <w:rPr>
          <w:noProof/>
        </w:rPr>
        <w:drawing>
          <wp:inline distT="0" distB="0" distL="0" distR="0" wp14:anchorId="7E96D560" wp14:editId="37BF91E2">
            <wp:extent cx="5590540" cy="30664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0540" cy="3066415"/>
                    </a:xfrm>
                    <a:prstGeom prst="rect">
                      <a:avLst/>
                    </a:prstGeom>
                    <a:noFill/>
                  </pic:spPr>
                </pic:pic>
              </a:graphicData>
            </a:graphic>
          </wp:inline>
        </w:drawing>
      </w:r>
    </w:p>
    <w:p w14:paraId="60332A0E" w14:textId="347C4B89" w:rsidR="00B802F5" w:rsidRPr="006E13D1" w:rsidRDefault="00B802F5" w:rsidP="00B802F5">
      <w:pPr>
        <w:pStyle w:val="TF"/>
      </w:pPr>
      <w:r w:rsidRPr="006E13D1">
        <w:t xml:space="preserve">Figure </w:t>
      </w:r>
      <w:r>
        <w:t>1</w:t>
      </w:r>
      <w:r w:rsidRPr="006E13D1">
        <w:t xml:space="preserve">: </w:t>
      </w:r>
      <w:r>
        <w:t>Intra-band contiguous and non-contigous CA</w:t>
      </w:r>
      <w:r w:rsidR="00D36F60">
        <w:t xml:space="preserve"> in Band A</w:t>
      </w:r>
    </w:p>
    <w:p w14:paraId="08E17181" w14:textId="10D2D689" w:rsidR="00316159" w:rsidRDefault="00D36F60" w:rsidP="00A209D6">
      <w:r>
        <w:t xml:space="preserve">In LTE UE capabilities, each band entry consists of a contiguous component in a band, and each band entry defines the parameters specific to that instance. If a band combination contains non-contiguous parts, each band entry may have different capabilities included. </w:t>
      </w:r>
    </w:p>
    <w:p w14:paraId="037D102D" w14:textId="5FE8D007" w:rsidR="00316159" w:rsidRDefault="00316159" w:rsidP="00A209D6">
      <w:r w:rsidRPr="00316159">
        <w:rPr>
          <w:b/>
        </w:rPr>
        <w:lastRenderedPageBreak/>
        <w:t>Observation 1:</w:t>
      </w:r>
      <w:r>
        <w:t xml:space="preserve"> Intra-band contiguous CA capabilities are all contained within a single band entry of a band combination, while intra-band non-contiguous CA capabilities require at least two band entries.</w:t>
      </w:r>
    </w:p>
    <w:p w14:paraId="3409E0DD" w14:textId="70A458F0" w:rsidR="00316159" w:rsidRPr="00316159" w:rsidRDefault="00316159" w:rsidP="00316159">
      <w:pPr>
        <w:pStyle w:val="Heading2"/>
      </w:pPr>
      <w:r>
        <w:t>2</w:t>
      </w:r>
      <w:r w:rsidRPr="006E13D1">
        <w:t>.</w:t>
      </w:r>
      <w:r>
        <w:t>2</w:t>
      </w:r>
      <w:r w:rsidRPr="006E13D1">
        <w:tab/>
      </w:r>
      <w:r w:rsidR="00D56D8E">
        <w:t>MIMO layer capabilities for i</w:t>
      </w:r>
      <w:r>
        <w:t>ntra-band CA</w:t>
      </w:r>
      <w:r w:rsidRPr="006E13D1">
        <w:t xml:space="preserve"> </w:t>
      </w:r>
    </w:p>
    <w:p w14:paraId="541D4A65" w14:textId="4BCC2838" w:rsidR="00033A1F" w:rsidRDefault="00387843" w:rsidP="00A209D6">
      <w:r>
        <w:t xml:space="preserve">Since UE may </w:t>
      </w:r>
      <w:r w:rsidR="00033A1F">
        <w:t xml:space="preserve">have </w:t>
      </w:r>
      <w:r>
        <w:t xml:space="preserve">certain </w:t>
      </w:r>
      <w:r w:rsidR="00033A1F">
        <w:t>different capabilities</w:t>
      </w:r>
      <w:r>
        <w:t xml:space="preserve"> depending on the number of intra-band carriers</w:t>
      </w:r>
      <w:r w:rsidR="00033A1F">
        <w:t xml:space="preserve">, Rel-12 LTE introduced the </w:t>
      </w:r>
      <w:r>
        <w:t>possibility for UE the support for MIMO and CSI process capabilities for each intra-band contiguous band entry as shown below.</w:t>
      </w:r>
    </w:p>
    <w:p w14:paraId="7ED5DC3C" w14:textId="728F9A95" w:rsidR="00033A1F" w:rsidRDefault="00033A1F" w:rsidP="00A209D6"/>
    <w:p w14:paraId="20EA0E6B"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33A1F">
        <w:rPr>
          <w:rFonts w:ascii="Courier New" w:hAnsi="Courier New"/>
          <w:noProof/>
          <w:sz w:val="16"/>
          <w:lang w:eastAsia="ja-JP"/>
        </w:rPr>
        <w:t>CA-MIMO-ParametersDL-v1270 ::= SEQUENCE {</w:t>
      </w:r>
    </w:p>
    <w:p w14:paraId="4E37DB0A"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33A1F">
        <w:rPr>
          <w:rFonts w:ascii="Courier New" w:hAnsi="Courier New"/>
          <w:noProof/>
          <w:sz w:val="16"/>
          <w:lang w:eastAsia="ja-JP"/>
        </w:rPr>
        <w:tab/>
      </w:r>
      <w:r w:rsidRPr="00033A1F">
        <w:rPr>
          <w:rFonts w:ascii="Courier New" w:hAnsi="Courier New"/>
          <w:noProof/>
          <w:sz w:val="16"/>
          <w:highlight w:val="yellow"/>
          <w:lang w:eastAsia="ja-JP"/>
        </w:rPr>
        <w:t>intraBandContiguousCC-InfoList-r12</w:t>
      </w:r>
      <w:r w:rsidRPr="00033A1F">
        <w:rPr>
          <w:rFonts w:ascii="Courier New" w:hAnsi="Courier New"/>
          <w:noProof/>
          <w:sz w:val="16"/>
          <w:lang w:eastAsia="ja-JP"/>
        </w:rPr>
        <w:tab/>
      </w:r>
      <w:r w:rsidRPr="00033A1F">
        <w:rPr>
          <w:rFonts w:ascii="Courier New" w:hAnsi="Courier New"/>
          <w:noProof/>
          <w:sz w:val="16"/>
          <w:lang w:eastAsia="ja-JP"/>
        </w:rPr>
        <w:tab/>
      </w:r>
      <w:r w:rsidRPr="00033A1F">
        <w:rPr>
          <w:rFonts w:ascii="Courier New" w:hAnsi="Courier New"/>
          <w:noProof/>
          <w:sz w:val="16"/>
          <w:lang w:eastAsia="ja-JP"/>
        </w:rPr>
        <w:tab/>
      </w:r>
      <w:r w:rsidRPr="00033A1F">
        <w:rPr>
          <w:rFonts w:ascii="Courier New" w:hAnsi="Courier New"/>
          <w:noProof/>
          <w:sz w:val="16"/>
          <w:highlight w:val="cyan"/>
          <w:lang w:eastAsia="ja-JP"/>
        </w:rPr>
        <w:t>SEQUENCE (SIZE (1..maxServCell-r10))</w:t>
      </w:r>
      <w:r w:rsidRPr="00033A1F">
        <w:rPr>
          <w:rFonts w:ascii="Courier New" w:hAnsi="Courier New"/>
          <w:noProof/>
          <w:sz w:val="16"/>
          <w:lang w:eastAsia="ja-JP"/>
        </w:rPr>
        <w:t xml:space="preserve"> OF </w:t>
      </w:r>
      <w:r w:rsidRPr="00033A1F">
        <w:rPr>
          <w:rFonts w:ascii="Courier New" w:hAnsi="Courier New"/>
          <w:noProof/>
          <w:sz w:val="16"/>
          <w:highlight w:val="green"/>
          <w:lang w:eastAsia="ja-JP"/>
        </w:rPr>
        <w:t>IntraBandContiguousCC-Info-r12</w:t>
      </w:r>
    </w:p>
    <w:p w14:paraId="4FDAE300"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33A1F">
        <w:rPr>
          <w:rFonts w:ascii="Courier New" w:hAnsi="Courier New"/>
          <w:noProof/>
          <w:sz w:val="16"/>
          <w:lang w:eastAsia="ja-JP"/>
        </w:rPr>
        <w:t>}</w:t>
      </w:r>
    </w:p>
    <w:p w14:paraId="1B436512"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1CFF96"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86177A"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green"/>
          <w:lang w:eastAsia="ja-JP"/>
        </w:rPr>
      </w:pPr>
      <w:r w:rsidRPr="00033A1F">
        <w:rPr>
          <w:rFonts w:ascii="Courier New" w:hAnsi="Courier New"/>
          <w:noProof/>
          <w:sz w:val="16"/>
          <w:highlight w:val="green"/>
          <w:lang w:eastAsia="ja-JP"/>
        </w:rPr>
        <w:t>IntraBandContiguousCC-Info-r12 ::= SEQUENCE {</w:t>
      </w:r>
    </w:p>
    <w:p w14:paraId="6B3F7211"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green"/>
          <w:lang w:eastAsia="ja-JP"/>
        </w:rPr>
      </w:pPr>
      <w:r w:rsidRPr="00033A1F">
        <w:rPr>
          <w:rFonts w:ascii="Courier New" w:hAnsi="Courier New"/>
          <w:noProof/>
          <w:sz w:val="16"/>
          <w:highlight w:val="green"/>
          <w:lang w:eastAsia="ja-JP"/>
        </w:rPr>
        <w:tab/>
        <w:t>fourLayerTM3-TM4-perCC-r12</w:t>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t>ENUMERATED {supported}</w:t>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t>OPTIONAL,</w:t>
      </w:r>
    </w:p>
    <w:p w14:paraId="7C07F2B4"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green"/>
          <w:lang w:eastAsia="ja-JP"/>
        </w:rPr>
      </w:pPr>
      <w:r w:rsidRPr="00033A1F">
        <w:rPr>
          <w:rFonts w:ascii="Courier New" w:hAnsi="Courier New"/>
          <w:noProof/>
          <w:sz w:val="16"/>
          <w:highlight w:val="green"/>
          <w:lang w:eastAsia="ja-JP"/>
        </w:rPr>
        <w:tab/>
        <w:t>supportedMIMO-CapabilityDL-r12</w:t>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t>MIMO-CapabilityDL-r10</w:t>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t>OPTIONAL,</w:t>
      </w:r>
    </w:p>
    <w:p w14:paraId="57F6DF65"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green"/>
          <w:lang w:eastAsia="ja-JP"/>
        </w:rPr>
      </w:pPr>
      <w:r w:rsidRPr="00033A1F">
        <w:rPr>
          <w:rFonts w:ascii="Courier New" w:hAnsi="Courier New"/>
          <w:noProof/>
          <w:sz w:val="16"/>
          <w:highlight w:val="green"/>
          <w:lang w:eastAsia="ja-JP"/>
        </w:rPr>
        <w:tab/>
        <w:t>supportedCSI-Proc-r12</w:t>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t>ENUMERATED {n1, n3, n4}</w:t>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r>
      <w:r w:rsidRPr="00033A1F">
        <w:rPr>
          <w:rFonts w:ascii="Courier New" w:hAnsi="Courier New"/>
          <w:noProof/>
          <w:sz w:val="16"/>
          <w:highlight w:val="green"/>
          <w:lang w:eastAsia="ja-JP"/>
        </w:rPr>
        <w:tab/>
        <w:t>OPTIONAL</w:t>
      </w:r>
    </w:p>
    <w:p w14:paraId="34E51735" w14:textId="77777777" w:rsidR="00033A1F" w:rsidRPr="00033A1F" w:rsidRDefault="00033A1F" w:rsidP="00033A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33A1F">
        <w:rPr>
          <w:rFonts w:ascii="Courier New" w:hAnsi="Courier New"/>
          <w:noProof/>
          <w:sz w:val="16"/>
          <w:highlight w:val="green"/>
          <w:lang w:eastAsia="ja-JP"/>
        </w:rPr>
        <w:t>}</w:t>
      </w:r>
    </w:p>
    <w:p w14:paraId="0A2A42E3" w14:textId="77777777" w:rsidR="00033A1F" w:rsidRDefault="00033A1F" w:rsidP="00A209D6"/>
    <w:tbl>
      <w:tblPr>
        <w:tblW w:w="8655" w:type="dxa"/>
        <w:tblInd w:w="108" w:type="dxa"/>
        <w:tblLayout w:type="fixed"/>
        <w:tblLook w:val="01E0" w:firstRow="1" w:lastRow="1" w:firstColumn="1" w:lastColumn="1" w:noHBand="0" w:noVBand="0"/>
      </w:tblPr>
      <w:tblGrid>
        <w:gridCol w:w="7794"/>
        <w:gridCol w:w="861"/>
      </w:tblGrid>
      <w:tr w:rsidR="00033A1F" w:rsidRPr="00033A1F" w14:paraId="2F1BD46A" w14:textId="77777777" w:rsidTr="00F27508">
        <w:tc>
          <w:tcPr>
            <w:tcW w:w="7789" w:type="dxa"/>
            <w:tcBorders>
              <w:top w:val="single" w:sz="4" w:space="0" w:color="808080"/>
              <w:left w:val="single" w:sz="4" w:space="0" w:color="808080"/>
              <w:bottom w:val="single" w:sz="4" w:space="0" w:color="808080"/>
              <w:right w:val="single" w:sz="4" w:space="0" w:color="808080"/>
            </w:tcBorders>
          </w:tcPr>
          <w:p w14:paraId="62D2144C" w14:textId="77777777" w:rsidR="00033A1F" w:rsidRPr="00033A1F" w:rsidRDefault="00033A1F" w:rsidP="00033A1F">
            <w:pPr>
              <w:keepNext/>
              <w:keepLines/>
              <w:overflowPunct w:val="0"/>
              <w:autoSpaceDE w:val="0"/>
              <w:autoSpaceDN w:val="0"/>
              <w:adjustRightInd w:val="0"/>
              <w:spacing w:after="0"/>
              <w:textAlignment w:val="baseline"/>
              <w:rPr>
                <w:rFonts w:ascii="Arial" w:hAnsi="Arial"/>
                <w:b/>
                <w:i/>
                <w:sz w:val="18"/>
                <w:lang w:eastAsia="ko-KR"/>
              </w:rPr>
            </w:pPr>
            <w:r w:rsidRPr="00033A1F">
              <w:rPr>
                <w:rFonts w:ascii="Arial" w:hAnsi="Arial"/>
                <w:b/>
                <w:i/>
                <w:sz w:val="18"/>
                <w:lang w:eastAsia="zh-CN"/>
              </w:rPr>
              <w:t>intraBandContiguous</w:t>
            </w:r>
            <w:r w:rsidRPr="00033A1F">
              <w:rPr>
                <w:rFonts w:ascii="Arial" w:hAnsi="Arial"/>
                <w:b/>
                <w:i/>
                <w:sz w:val="18"/>
                <w:lang w:eastAsia="ko-KR"/>
              </w:rPr>
              <w:t>CC-I</w:t>
            </w:r>
            <w:r w:rsidRPr="00033A1F">
              <w:rPr>
                <w:rFonts w:ascii="Arial" w:hAnsi="Arial"/>
                <w:b/>
                <w:i/>
                <w:sz w:val="18"/>
                <w:lang w:eastAsia="zh-CN"/>
              </w:rPr>
              <w:t>nfoList</w:t>
            </w:r>
          </w:p>
          <w:p w14:paraId="306190CF" w14:textId="77777777" w:rsidR="00033A1F" w:rsidRPr="00033A1F" w:rsidRDefault="00033A1F" w:rsidP="00033A1F">
            <w:pPr>
              <w:keepNext/>
              <w:keepLines/>
              <w:overflowPunct w:val="0"/>
              <w:autoSpaceDE w:val="0"/>
              <w:autoSpaceDN w:val="0"/>
              <w:adjustRightInd w:val="0"/>
              <w:spacing w:after="0"/>
              <w:textAlignment w:val="baseline"/>
              <w:rPr>
                <w:rFonts w:ascii="Arial" w:hAnsi="Arial"/>
                <w:sz w:val="18"/>
                <w:lang w:eastAsia="ko-KR"/>
              </w:rPr>
            </w:pPr>
            <w:r w:rsidRPr="00033A1F">
              <w:rPr>
                <w:rFonts w:ascii="Arial" w:hAnsi="Arial"/>
                <w:sz w:val="18"/>
                <w:highlight w:val="green"/>
                <w:lang w:eastAsia="ja-JP"/>
              </w:rPr>
              <w:t>Indicates</w:t>
            </w:r>
            <w:r w:rsidRPr="00033A1F">
              <w:rPr>
                <w:rFonts w:ascii="Arial" w:hAnsi="Arial"/>
                <w:sz w:val="18"/>
                <w:highlight w:val="green"/>
                <w:lang w:eastAsia="ko-KR"/>
              </w:rPr>
              <w:t>,</w:t>
            </w:r>
            <w:r w:rsidRPr="00033A1F">
              <w:rPr>
                <w:rFonts w:ascii="Arial" w:hAnsi="Arial" w:cs="Arial"/>
                <w:sz w:val="18"/>
                <w:szCs w:val="18"/>
                <w:highlight w:val="green"/>
                <w:lang w:eastAsia="ja-JP"/>
              </w:rPr>
              <w:t xml:space="preserve"> per serving carrier of which the corresponding bandwidth class includes multiple serving carriers (i.e. bandwidth class B, C, D and so on)</w:t>
            </w:r>
            <w:r w:rsidRPr="00033A1F">
              <w:rPr>
                <w:rFonts w:ascii="Arial" w:hAnsi="Arial" w:cs="Arial"/>
                <w:sz w:val="18"/>
                <w:szCs w:val="18"/>
                <w:highlight w:val="green"/>
                <w:lang w:eastAsia="ko-KR"/>
              </w:rPr>
              <w:t>,</w:t>
            </w:r>
            <w:r w:rsidRPr="00033A1F">
              <w:rPr>
                <w:rFonts w:ascii="Arial" w:hAnsi="Arial"/>
                <w:sz w:val="18"/>
                <w:highlight w:val="green"/>
                <w:lang w:eastAsia="ko-KR"/>
              </w:rPr>
              <w:t xml:space="preserve"> t</w:t>
            </w:r>
            <w:r w:rsidRPr="00033A1F">
              <w:rPr>
                <w:rFonts w:ascii="Arial" w:hAnsi="Arial"/>
                <w:iCs/>
                <w:noProof/>
                <w:sz w:val="18"/>
                <w:highlight w:val="green"/>
                <w:lang w:eastAsia="ja-JP"/>
              </w:rPr>
              <w:t xml:space="preserve">he </w:t>
            </w:r>
            <w:r w:rsidRPr="00033A1F">
              <w:rPr>
                <w:rFonts w:ascii="Arial" w:hAnsi="Arial"/>
                <w:iCs/>
                <w:noProof/>
                <w:sz w:val="18"/>
                <w:highlight w:val="green"/>
                <w:lang w:eastAsia="ko-KR"/>
              </w:rPr>
              <w:t xml:space="preserve">maximum </w:t>
            </w:r>
            <w:r w:rsidRPr="00033A1F">
              <w:rPr>
                <w:rFonts w:ascii="Arial" w:hAnsi="Arial"/>
                <w:sz w:val="18"/>
                <w:highlight w:val="green"/>
                <w:lang w:eastAsia="ja-JP"/>
              </w:rPr>
              <w:t>number of supported layers for spatial multiplexing in DL</w:t>
            </w:r>
            <w:r w:rsidRPr="00033A1F">
              <w:rPr>
                <w:rFonts w:ascii="Arial" w:hAnsi="Arial"/>
                <w:sz w:val="18"/>
                <w:highlight w:val="green"/>
                <w:lang w:eastAsia="ko-KR"/>
              </w:rPr>
              <w:t xml:space="preserve"> and</w:t>
            </w:r>
            <w:r w:rsidRPr="00033A1F">
              <w:rPr>
                <w:rFonts w:ascii="Arial" w:hAnsi="Arial"/>
                <w:sz w:val="18"/>
                <w:highlight w:val="green"/>
                <w:lang w:eastAsia="ja-JP"/>
              </w:rPr>
              <w:t xml:space="preserve"> the maximum number of CSI processes supported</w:t>
            </w:r>
            <w:r w:rsidRPr="00033A1F">
              <w:rPr>
                <w:rFonts w:ascii="Arial" w:hAnsi="Arial"/>
                <w:sz w:val="18"/>
                <w:highlight w:val="green"/>
                <w:lang w:eastAsia="ko-KR"/>
              </w:rPr>
              <w:t>.</w:t>
            </w:r>
            <w:r w:rsidRPr="00033A1F">
              <w:rPr>
                <w:rFonts w:ascii="Arial" w:hAnsi="Arial"/>
                <w:sz w:val="18"/>
                <w:lang w:eastAsia="ko-KR"/>
              </w:rPr>
              <w:t xml:space="preserve"> </w:t>
            </w:r>
            <w:r w:rsidRPr="00033A1F">
              <w:rPr>
                <w:rFonts w:ascii="Arial" w:hAnsi="Arial"/>
                <w:sz w:val="18"/>
                <w:highlight w:val="cyan"/>
                <w:lang w:eastAsia="ko-KR"/>
              </w:rPr>
              <w:t>The number of entries is equal to the number of component carriers in the corresponding bandwidth class.</w:t>
            </w:r>
            <w:r w:rsidRPr="00033A1F">
              <w:rPr>
                <w:rFonts w:ascii="Arial" w:hAnsi="Arial"/>
                <w:sz w:val="18"/>
                <w:lang w:eastAsia="ko-KR"/>
              </w:rPr>
              <w:t xml:space="preserve"> </w:t>
            </w:r>
            <w:r w:rsidRPr="00033A1F">
              <w:rPr>
                <w:rFonts w:ascii="Arial" w:hAnsi="Arial" w:cs="Arial"/>
                <w:sz w:val="18"/>
                <w:szCs w:val="18"/>
                <w:highlight w:val="yellow"/>
                <w:lang w:eastAsia="ko-KR"/>
              </w:rPr>
              <w:t>The UE shall support the setting indicated in each entry of the list regardless of the order of entries in the list.</w:t>
            </w:r>
            <w:r w:rsidRPr="00033A1F">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33A1F">
              <w:rPr>
                <w:rFonts w:ascii="Arial" w:hAnsi="Arial" w:cs="Arial"/>
                <w:sz w:val="18"/>
                <w:szCs w:val="18"/>
                <w:lang w:eastAsia="ko-KR"/>
              </w:rPr>
              <w:t>for at least one component carrier</w:t>
            </w:r>
            <w:r w:rsidRPr="00033A1F">
              <w:rPr>
                <w:rFonts w:ascii="Arial" w:hAnsi="Arial"/>
                <w:sz w:val="18"/>
                <w:lang w:eastAsia="ko-KR"/>
              </w:rPr>
              <w:t xml:space="preserve"> is higher than </w:t>
            </w:r>
            <w:r w:rsidRPr="00033A1F">
              <w:rPr>
                <w:rFonts w:ascii="Arial" w:hAnsi="Arial"/>
                <w:i/>
                <w:sz w:val="18"/>
                <w:lang w:eastAsia="ko-KR"/>
              </w:rPr>
              <w:t xml:space="preserve">supportedMIMO-CapabilityDL-r10 </w:t>
            </w:r>
            <w:r w:rsidRPr="00033A1F">
              <w:rPr>
                <w:rFonts w:ascii="Arial" w:hAnsi="Arial"/>
                <w:sz w:val="18"/>
                <w:lang w:eastAsia="ko-KR"/>
              </w:rPr>
              <w:t xml:space="preserve">in the corresponding bandwidth class, or if the number of CSI processes </w:t>
            </w:r>
            <w:r w:rsidRPr="00033A1F">
              <w:rPr>
                <w:rFonts w:ascii="Arial" w:hAnsi="Arial" w:cs="Arial"/>
                <w:sz w:val="18"/>
                <w:szCs w:val="18"/>
                <w:lang w:eastAsia="ko-KR"/>
              </w:rPr>
              <w:t xml:space="preserve">for at least one component carrier </w:t>
            </w:r>
            <w:r w:rsidRPr="00033A1F">
              <w:rPr>
                <w:rFonts w:ascii="Arial" w:hAnsi="Arial"/>
                <w:sz w:val="18"/>
                <w:lang w:eastAsia="ko-KR"/>
              </w:rPr>
              <w:t xml:space="preserve">is higher than </w:t>
            </w:r>
            <w:r w:rsidRPr="00033A1F">
              <w:rPr>
                <w:rFonts w:ascii="Arial" w:hAnsi="Arial"/>
                <w:i/>
                <w:sz w:val="18"/>
                <w:lang w:eastAsia="ko-KR"/>
              </w:rPr>
              <w:t>supportedCSI-Proc-r11</w:t>
            </w:r>
            <w:r w:rsidRPr="00033A1F">
              <w:rPr>
                <w:rFonts w:ascii="Arial" w:hAnsi="Arial"/>
                <w:sz w:val="18"/>
                <w:lang w:eastAsia="ko-KR"/>
              </w:rPr>
              <w:t xml:space="preserve"> in the corresponding band.</w:t>
            </w:r>
          </w:p>
          <w:p w14:paraId="29FD2FF0" w14:textId="77777777" w:rsidR="00033A1F" w:rsidRPr="00033A1F" w:rsidRDefault="00033A1F" w:rsidP="00033A1F">
            <w:pPr>
              <w:keepNext/>
              <w:keepLines/>
              <w:overflowPunct w:val="0"/>
              <w:autoSpaceDE w:val="0"/>
              <w:autoSpaceDN w:val="0"/>
              <w:adjustRightInd w:val="0"/>
              <w:spacing w:after="0"/>
              <w:textAlignment w:val="baseline"/>
              <w:rPr>
                <w:rFonts w:ascii="Arial" w:hAnsi="Arial"/>
                <w:b/>
                <w:bCs/>
                <w:i/>
                <w:noProof/>
                <w:sz w:val="18"/>
                <w:lang w:eastAsia="en-GB"/>
              </w:rPr>
            </w:pPr>
            <w:r w:rsidRPr="00033A1F">
              <w:rPr>
                <w:rFonts w:ascii="Arial" w:hAnsi="Arial"/>
                <w:sz w:val="18"/>
                <w:lang w:eastAsia="ja-JP"/>
              </w:rPr>
              <w:t xml:space="preserve">This field may also be included for bandwidth class A but in such a case without including any sub-fields in </w:t>
            </w:r>
            <w:r w:rsidRPr="00033A1F">
              <w:rPr>
                <w:rFonts w:ascii="Arial" w:hAnsi="Arial"/>
                <w:i/>
                <w:sz w:val="18"/>
                <w:lang w:eastAsia="ja-JP"/>
              </w:rPr>
              <w:t xml:space="preserve">IntraBandContiguousCC-Info-r12 </w:t>
            </w:r>
            <w:r w:rsidRPr="00033A1F">
              <w:rPr>
                <w:rFonts w:ascii="Arial" w:hAnsi="Arial"/>
                <w:sz w:val="18"/>
                <w:lang w:eastAsia="ja-JP"/>
              </w:rPr>
              <w:t>(see NOTE 6).</w:t>
            </w:r>
          </w:p>
        </w:tc>
        <w:tc>
          <w:tcPr>
            <w:tcW w:w="861" w:type="dxa"/>
            <w:tcBorders>
              <w:top w:val="single" w:sz="4" w:space="0" w:color="808080"/>
              <w:left w:val="single" w:sz="4" w:space="0" w:color="808080"/>
              <w:bottom w:val="single" w:sz="4" w:space="0" w:color="808080"/>
              <w:right w:val="single" w:sz="4" w:space="0" w:color="808080"/>
            </w:tcBorders>
          </w:tcPr>
          <w:p w14:paraId="7124E2C0" w14:textId="77777777" w:rsidR="00033A1F" w:rsidRPr="00033A1F" w:rsidRDefault="00033A1F" w:rsidP="00033A1F">
            <w:pPr>
              <w:keepNext/>
              <w:keepLines/>
              <w:overflowPunct w:val="0"/>
              <w:autoSpaceDE w:val="0"/>
              <w:autoSpaceDN w:val="0"/>
              <w:adjustRightInd w:val="0"/>
              <w:spacing w:after="0"/>
              <w:jc w:val="center"/>
              <w:textAlignment w:val="baseline"/>
              <w:rPr>
                <w:rFonts w:ascii="Arial" w:hAnsi="Arial"/>
                <w:bCs/>
                <w:noProof/>
                <w:sz w:val="18"/>
                <w:lang w:eastAsia="en-GB"/>
              </w:rPr>
            </w:pPr>
            <w:r w:rsidRPr="00033A1F">
              <w:rPr>
                <w:rFonts w:ascii="Arial" w:hAnsi="Arial"/>
                <w:bCs/>
                <w:noProof/>
                <w:sz w:val="18"/>
                <w:lang w:eastAsia="ja-JP"/>
              </w:rPr>
              <w:t>-</w:t>
            </w:r>
          </w:p>
        </w:tc>
      </w:tr>
    </w:tbl>
    <w:p w14:paraId="059DA1B7" w14:textId="0B51A102" w:rsidR="00033A1F" w:rsidRDefault="00033A1F" w:rsidP="00A209D6"/>
    <w:p w14:paraId="58EA8C7F" w14:textId="3511F2A9" w:rsidR="00387843" w:rsidRDefault="00387843" w:rsidP="00A209D6">
      <w:r>
        <w:t xml:space="preserve">Notable, the list of capabilities is agnostic to the order of the carriers, i.e. in case UE supports e.g. CA_3C with (2 ,4) MIMO layers (i.e. first carrier with 2 MIMO layers and second with 4 MIMO layers), UE also always supports CA_3C with (4, 2) MIMO layers (i.e. first carrier with 4 MIMO layers and second with 2 MIMO layers). This is specified via the yellow-highlighted sentence in the above field description. </w:t>
      </w:r>
    </w:p>
    <w:p w14:paraId="23B69360" w14:textId="611A0314" w:rsidR="00387843" w:rsidRDefault="00387843" w:rsidP="00A209D6">
      <w:r w:rsidRPr="00C35D61">
        <w:rPr>
          <w:b/>
        </w:rPr>
        <w:t xml:space="preserve">Observation </w:t>
      </w:r>
      <w:r w:rsidR="00316159">
        <w:rPr>
          <w:b/>
        </w:rPr>
        <w:t>2</w:t>
      </w:r>
      <w:r w:rsidRPr="00C35D61">
        <w:rPr>
          <w:b/>
        </w:rPr>
        <w:t>:</w:t>
      </w:r>
      <w:r>
        <w:t xml:space="preserve"> For intra-band contiguous carriers, UE band combination capabilities specify that UE supports any ordering of the capabilities.</w:t>
      </w:r>
    </w:p>
    <w:p w14:paraId="6CF72988" w14:textId="189AAFB7" w:rsidR="00B802F5" w:rsidRDefault="002A2C4A" w:rsidP="00A209D6">
      <w:r>
        <w:t xml:space="preserve">The same </w:t>
      </w:r>
      <w:r w:rsidR="00387843">
        <w:t>is not true for inter-band carrier aggregation, since each band entry is defined seeparately, nor would it often make sense given the differences in RF capabilities</w:t>
      </w:r>
      <w:r>
        <w:t xml:space="preserve"> and obvious “ordering” of carriers arising from the way inter-band CA is defined</w:t>
      </w:r>
      <w:r w:rsidR="00387843">
        <w:t>.</w:t>
      </w:r>
      <w:r>
        <w:t xml:space="preserve"> </w:t>
      </w:r>
      <w:r w:rsidR="00D36F60">
        <w:t xml:space="preserve">However, </w:t>
      </w:r>
      <w:r>
        <w:t xml:space="preserve">the case of </w:t>
      </w:r>
      <w:r w:rsidR="00D36F60">
        <w:t xml:space="preserve">intra-band non-contiguous </w:t>
      </w:r>
      <w:r>
        <w:t xml:space="preserve">bears further scrutiny: With intra-band non-contiguous CA, each non-contiguous </w:t>
      </w:r>
      <w:r w:rsidR="00D36F60">
        <w:t xml:space="preserve">block </w:t>
      </w:r>
      <w:r>
        <w:t xml:space="preserve">has an </w:t>
      </w:r>
      <w:r w:rsidR="00D36F60">
        <w:t>independent</w:t>
      </w:r>
      <w:r>
        <w:t xml:space="preserve"> capability entry. However, it is not clear from TS</w:t>
      </w:r>
      <w:r w:rsidR="00D36F60">
        <w:t xml:space="preserve">36.331 </w:t>
      </w:r>
      <w:r>
        <w:t>whether this means that UE could still “swap” the order of the capabilities like with intra-band contiguous CA</w:t>
      </w:r>
      <w:r w:rsidR="00D36F60">
        <w:t>.</w:t>
      </w:r>
    </w:p>
    <w:p w14:paraId="08FE874E" w14:textId="3D165576" w:rsidR="00AE2301" w:rsidRDefault="00D36F60" w:rsidP="00A209D6">
      <w:r w:rsidRPr="00C35D61">
        <w:rPr>
          <w:b/>
        </w:rPr>
        <w:t xml:space="preserve">Observation </w:t>
      </w:r>
      <w:r w:rsidR="00316159">
        <w:rPr>
          <w:b/>
        </w:rPr>
        <w:t>3</w:t>
      </w:r>
      <w:r w:rsidRPr="00C35D61">
        <w:rPr>
          <w:b/>
        </w:rPr>
        <w:t>:</w:t>
      </w:r>
      <w:r>
        <w:t xml:space="preserve"> </w:t>
      </w:r>
      <w:r w:rsidR="00C35D61">
        <w:t xml:space="preserve">UE band combination capabilities do not </w:t>
      </w:r>
      <w:r w:rsidR="002A2C4A">
        <w:t xml:space="preserve">clearly </w:t>
      </w:r>
      <w:r w:rsidR="00C35D61">
        <w:t xml:space="preserve">specify </w:t>
      </w:r>
      <w:r w:rsidR="002A2C4A">
        <w:t xml:space="preserve">whether capabilities applicable for different carriers in case of </w:t>
      </w:r>
      <w:r w:rsidR="00C35D61">
        <w:t xml:space="preserve">intra-band non-contiguous </w:t>
      </w:r>
      <w:r w:rsidR="002A2C4A">
        <w:t>behave similarly as with intra-band contiguous CA.</w:t>
      </w:r>
    </w:p>
    <w:p w14:paraId="2FA48935" w14:textId="77777777" w:rsidR="00C86B86" w:rsidRDefault="00C86B86" w:rsidP="00C86B86">
      <w:r>
        <w:t>Finally, we note that in TS36.306, there are some statements about the supported MIMO layers for a given band combination, as shown by below excerpt from sub-clause 4.3.5.2:</w:t>
      </w:r>
    </w:p>
    <w:p w14:paraId="563076B1" w14:textId="77777777" w:rsidR="00C86B86" w:rsidRDefault="00C86B86" w:rsidP="00C86B86">
      <w:pPr>
        <w:keepNext/>
        <w:overflowPunct w:val="0"/>
        <w:autoSpaceDE w:val="0"/>
        <w:autoSpaceDN w:val="0"/>
        <w:spacing w:before="120"/>
        <w:ind w:left="1702" w:hanging="1418"/>
        <w:rPr>
          <w:rFonts w:ascii="Arial" w:hAnsi="Arial" w:cs="Arial"/>
          <w:sz w:val="24"/>
          <w:szCs w:val="24"/>
          <w:lang w:eastAsia="ja-JP"/>
        </w:rPr>
      </w:pPr>
      <w:r>
        <w:rPr>
          <w:rFonts w:ascii="Arial" w:hAnsi="Arial" w:cs="Arial"/>
          <w:sz w:val="24"/>
          <w:szCs w:val="24"/>
        </w:rPr>
        <w:t xml:space="preserve">4.3.5.2          </w:t>
      </w:r>
      <w:r>
        <w:rPr>
          <w:rFonts w:ascii="Arial" w:hAnsi="Arial" w:cs="Arial"/>
          <w:i/>
          <w:iCs/>
          <w:sz w:val="24"/>
          <w:szCs w:val="24"/>
        </w:rPr>
        <w:t>supportedBandCombination</w:t>
      </w:r>
    </w:p>
    <w:p w14:paraId="1C46463C" w14:textId="77777777" w:rsidR="00C86B86" w:rsidRPr="00C93287" w:rsidRDefault="00C86B86" w:rsidP="00C86B86">
      <w:pPr>
        <w:overflowPunct w:val="0"/>
        <w:autoSpaceDE w:val="0"/>
        <w:autoSpaceDN w:val="0"/>
        <w:ind w:left="284"/>
        <w:rPr>
          <w:i/>
          <w:iCs/>
        </w:rPr>
      </w:pPr>
      <w:r>
        <w:rPr>
          <w:i/>
          <w:iCs/>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w:t>
      </w:r>
      <w:r>
        <w:rPr>
          <w:i/>
          <w:iCs/>
        </w:rPr>
        <w:lastRenderedPageBreak/>
        <w:t xml:space="preserve">combination. Applicability of provisioning uplink CA bandwidth class for each band in the band combinations is defined in TS 36.101 [6]. </w:t>
      </w:r>
      <w:r>
        <w:rPr>
          <w:i/>
          <w:iCs/>
          <w:highlight w:val="cyan"/>
        </w:rPr>
        <w:t xml:space="preserve">A MIMO capability applies to all carriers of a bandwidth class of a band in a band combination. </w:t>
      </w:r>
      <w:r>
        <w:rPr>
          <w:i/>
          <w:iCs/>
        </w:rPr>
        <w:t>For bandwidth classes that include multiple component carriers (i.e. bandwidth class</w:t>
      </w:r>
      <w:r>
        <w:rPr>
          <w:i/>
          <w:iCs/>
          <w:lang w:eastAsia="ko-KR"/>
        </w:rPr>
        <w:t>es</w:t>
      </w:r>
      <w:r>
        <w:rPr>
          <w:i/>
          <w:iCs/>
        </w:rPr>
        <w:t xml:space="preserve"> B, C, D and so on), </w:t>
      </w:r>
      <w:r>
        <w:rPr>
          <w:i/>
          <w:iCs/>
          <w:lang w:eastAsia="ko-KR"/>
        </w:rPr>
        <w:t xml:space="preserve">the UE </w:t>
      </w:r>
      <w:r>
        <w:rPr>
          <w:i/>
          <w:iCs/>
        </w:rPr>
        <w:t>may also indicate a separate MIMO capability that applies to each individual carrier of a bandwidth class of a band in a band combination.</w:t>
      </w:r>
    </w:p>
    <w:p w14:paraId="4F012EC8" w14:textId="77777777" w:rsidR="00C86B86" w:rsidRDefault="00C86B86" w:rsidP="00C86B86">
      <w:r>
        <w:rPr>
          <w:lang w:val="en-US"/>
        </w:rPr>
        <w:t>From this, we would note that the highlighted sentence:”</w:t>
      </w:r>
      <w:r w:rsidRPr="0089562E">
        <w:rPr>
          <w:i/>
          <w:iCs/>
          <w:highlight w:val="cyan"/>
        </w:rPr>
        <w:t xml:space="preserve"> </w:t>
      </w:r>
      <w:r>
        <w:rPr>
          <w:i/>
          <w:iCs/>
          <w:highlight w:val="cyan"/>
        </w:rPr>
        <w:t>A MIMO capability applies to all carriers of a bandwidth class of a band in a band combination</w:t>
      </w:r>
      <w:r>
        <w:rPr>
          <w:lang w:val="en-US"/>
        </w:rPr>
        <w:t xml:space="preserve">” implies that a MIMO Layer capability provided for a band with whatever bandwidth class applies to any carrier (e.g. </w:t>
      </w:r>
      <w:r>
        <w:t>from</w:t>
      </w:r>
      <w:r>
        <w:rPr>
          <w:lang w:val="en-US"/>
        </w:rPr>
        <w:t xml:space="preserve"> the lowest </w:t>
      </w:r>
      <w:r>
        <w:t xml:space="preserve">to </w:t>
      </w:r>
      <w:r>
        <w:rPr>
          <w:lang w:val="en-US"/>
        </w:rPr>
        <w:t>the highest carrier frequency value) of that band in the respective bandwidth class. Based no this, it can be understood that the order of the MIMO layers in a contiguous or non-contiguous band combination doesn’t matter, i.e. UE indicate (2 , 4) MIMO layers would still always support also (4, 2) MIMO layers.</w:t>
      </w:r>
      <w:r>
        <w:t xml:space="preserve"> </w:t>
      </w:r>
    </w:p>
    <w:p w14:paraId="7B6C9754" w14:textId="77777777" w:rsidR="00C86B86" w:rsidRDefault="00C86B86" w:rsidP="00C86B86">
      <w:r>
        <w:rPr>
          <w:lang w:val="fi-FI"/>
        </w:rPr>
        <w:t>But suppose this is not the case and</w:t>
      </w:r>
      <w:r>
        <w:t xml:space="preserve"> the MIMO capabilities would depend on carrier positio</w:t>
      </w:r>
      <w:r>
        <w:rPr>
          <w:lang w:val="fi-FI"/>
        </w:rPr>
        <w:t>n. Then if UE again indicates support for (2, 4) MIMO layers in a non-contiguous CA band combination (e.g. CA_1A_1A), it would still also always support 4-layer MIMO in its Pcell since a single-carrier configuration is always a fallback of CA configuration. Hence, were the Pcell to use 4-layer MIMO and would like to add Scell, following the ordering in capabilities would mean the Pcell would also have to either reconfigure the Pcell MIMO layers to 2 when adding Scell with 4-layer MIMO configuration, or restrict to only having 2-layer MIMO in both Pcell and Scell. Obviously, neither option seems desirable, which would favor the order-agnostic capability interpretation.</w:t>
      </w:r>
    </w:p>
    <w:p w14:paraId="1CD96B95" w14:textId="440B4B0A" w:rsidR="00C86B86" w:rsidRDefault="00C86B86" w:rsidP="00A209D6">
      <w:r w:rsidRPr="00C35D61">
        <w:rPr>
          <w:b/>
        </w:rPr>
        <w:t xml:space="preserve">Observation </w:t>
      </w:r>
      <w:r>
        <w:rPr>
          <w:b/>
        </w:rPr>
        <w:t>4</w:t>
      </w:r>
      <w:r w:rsidRPr="00C35D61">
        <w:rPr>
          <w:b/>
        </w:rPr>
        <w:t>:</w:t>
      </w:r>
      <w:r>
        <w:t xml:space="preserve"> If the MIMO capabilities are not agnostic to the order in which they are indicated for intra-band non-contigous band combinations, network </w:t>
      </w:r>
      <w:r w:rsidR="00A00F4C">
        <w:t xml:space="preserve">may </w:t>
      </w:r>
      <w:r>
        <w:t xml:space="preserve">under-utilize the UE capabilities or require additional reconfigurations to </w:t>
      </w:r>
      <w:r w:rsidR="00A00F4C">
        <w:t>utilize them fully.</w:t>
      </w:r>
    </w:p>
    <w:p w14:paraId="2A800FE4" w14:textId="3C3B58BA" w:rsidR="00D56D8E" w:rsidRPr="00316159" w:rsidRDefault="00D56D8E" w:rsidP="00D56D8E">
      <w:pPr>
        <w:pStyle w:val="Heading2"/>
      </w:pPr>
      <w:r>
        <w:t>2</w:t>
      </w:r>
      <w:r w:rsidRPr="006E13D1">
        <w:t>.</w:t>
      </w:r>
      <w:r>
        <w:t>3</w:t>
      </w:r>
      <w:r w:rsidRPr="006E13D1">
        <w:tab/>
      </w:r>
      <w:r>
        <w:t>BCS capabilities for intra-band non-contiguous CA</w:t>
      </w:r>
      <w:r w:rsidRPr="006E13D1">
        <w:t xml:space="preserve"> </w:t>
      </w:r>
    </w:p>
    <w:p w14:paraId="2731E576" w14:textId="3C1FA8FE" w:rsidR="00E455B7" w:rsidRDefault="00E455B7" w:rsidP="00A209D6">
      <w:r>
        <w:t xml:space="preserve">However, in TS36.101 the ordering has some implications for the support of BCS, as shown in below excerpt from Tagel 5.6A.1-3 (with </w:t>
      </w:r>
      <w:r w:rsidRPr="00E455B7">
        <w:rPr>
          <w:highlight w:val="yellow"/>
        </w:rPr>
        <w:t>yellow highlighting</w:t>
      </w:r>
      <w:r>
        <w:t xml:space="preserve"> added for emphasis)</w:t>
      </w:r>
    </w:p>
    <w:p w14:paraId="7205AEE9" w14:textId="77777777" w:rsidR="00E455B7" w:rsidRPr="00E455B7" w:rsidRDefault="00E455B7" w:rsidP="00E455B7">
      <w:pPr>
        <w:keepNext/>
        <w:keepLines/>
        <w:overflowPunct w:val="0"/>
        <w:autoSpaceDE w:val="0"/>
        <w:autoSpaceDN w:val="0"/>
        <w:adjustRightInd w:val="0"/>
        <w:spacing w:before="60"/>
        <w:jc w:val="center"/>
        <w:textAlignment w:val="baseline"/>
        <w:rPr>
          <w:rFonts w:ascii="Arial" w:hAnsi="Arial"/>
          <w:b/>
          <w:lang w:eastAsia="en-GB"/>
        </w:rPr>
      </w:pPr>
      <w:r w:rsidRPr="00E455B7">
        <w:rPr>
          <w:rFonts w:ascii="Arial" w:hAnsi="Arial"/>
          <w:b/>
          <w:lang w:eastAsia="en-GB"/>
        </w:rPr>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E455B7" w:rsidRPr="00E455B7" w14:paraId="4A75BCAE" w14:textId="77777777" w:rsidTr="00F27508">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F1424E4"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p>
        </w:tc>
        <w:tc>
          <w:tcPr>
            <w:tcW w:w="1466" w:type="dxa"/>
            <w:tcBorders>
              <w:top w:val="single" w:sz="4" w:space="0" w:color="auto"/>
              <w:left w:val="single" w:sz="4" w:space="0" w:color="auto"/>
              <w:bottom w:val="single" w:sz="4" w:space="0" w:color="auto"/>
              <w:right w:val="single" w:sz="4" w:space="0" w:color="auto"/>
            </w:tcBorders>
          </w:tcPr>
          <w:p w14:paraId="22D82F99"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5AA6C238"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E-UTRA CA configuration / Bandwidth combination set</w:t>
            </w:r>
          </w:p>
        </w:tc>
      </w:tr>
      <w:tr w:rsidR="00E455B7" w:rsidRPr="00E455B7" w14:paraId="14403E1B" w14:textId="77777777" w:rsidTr="00F27508">
        <w:trPr>
          <w:trHeight w:val="20"/>
          <w:jc w:val="center"/>
        </w:trPr>
        <w:tc>
          <w:tcPr>
            <w:tcW w:w="1366" w:type="dxa"/>
            <w:vMerge w:val="restart"/>
            <w:tcBorders>
              <w:top w:val="single" w:sz="4" w:space="0" w:color="auto"/>
              <w:left w:val="single" w:sz="4" w:space="0" w:color="auto"/>
              <w:right w:val="nil"/>
            </w:tcBorders>
            <w:vAlign w:val="center"/>
          </w:tcPr>
          <w:p w14:paraId="21D42CFD"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63CEAE37"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hint="eastAsia"/>
                <w:b/>
                <w:sz w:val="18"/>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FE58B0"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highlight w:val="yellow"/>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5A9D1035"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 xml:space="preserve">Maximum aggregated </w:t>
            </w:r>
            <w:r w:rsidRPr="00E455B7">
              <w:rPr>
                <w:rFonts w:ascii="Arial" w:hAnsi="Arial" w:cs="Arial"/>
                <w:b/>
                <w:sz w:val="18"/>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5683AAE7"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Bandwidth combination set</w:t>
            </w:r>
          </w:p>
        </w:tc>
      </w:tr>
      <w:tr w:rsidR="00E455B7" w:rsidRPr="00E455B7" w14:paraId="47AFF8B0" w14:textId="77777777" w:rsidTr="00F27508">
        <w:trPr>
          <w:trHeight w:val="20"/>
          <w:jc w:val="center"/>
        </w:trPr>
        <w:tc>
          <w:tcPr>
            <w:tcW w:w="1366" w:type="dxa"/>
            <w:vMerge/>
            <w:tcBorders>
              <w:left w:val="single" w:sz="4" w:space="0" w:color="auto"/>
              <w:bottom w:val="single" w:sz="4" w:space="0" w:color="000000"/>
              <w:right w:val="nil"/>
            </w:tcBorders>
            <w:vAlign w:val="center"/>
          </w:tcPr>
          <w:p w14:paraId="7F9B51A5"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p>
        </w:tc>
        <w:tc>
          <w:tcPr>
            <w:tcW w:w="1466" w:type="dxa"/>
            <w:vMerge/>
            <w:tcBorders>
              <w:left w:val="single" w:sz="4" w:space="0" w:color="auto"/>
              <w:bottom w:val="single" w:sz="4" w:space="0" w:color="auto"/>
              <w:right w:val="single" w:sz="4" w:space="0" w:color="auto"/>
            </w:tcBorders>
            <w:vAlign w:val="center"/>
          </w:tcPr>
          <w:p w14:paraId="04981DDB"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ABE1839"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49B42F5A"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20897813"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b/>
                <w:sz w:val="18"/>
                <w:lang w:val="en-US"/>
              </w:rPr>
            </w:pPr>
            <w:r w:rsidRPr="00E455B7">
              <w:rPr>
                <w:rFonts w:ascii="Arial" w:hAnsi="Arial" w:cs="Arial"/>
                <w:b/>
                <w:sz w:val="18"/>
                <w:lang w:val="en-US"/>
              </w:rPr>
              <w:t>Channel bandwidths for carrier [MHz]</w:t>
            </w:r>
          </w:p>
        </w:tc>
        <w:tc>
          <w:tcPr>
            <w:tcW w:w="1216" w:type="dxa"/>
            <w:tcBorders>
              <w:left w:val="single" w:sz="4" w:space="0" w:color="auto"/>
              <w:bottom w:val="single" w:sz="4" w:space="0" w:color="000000"/>
              <w:right w:val="single" w:sz="4" w:space="0" w:color="auto"/>
            </w:tcBorders>
          </w:tcPr>
          <w:p w14:paraId="54D0255A"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b/>
                <w:sz w:val="18"/>
                <w:lang w:val="en-US"/>
              </w:rPr>
            </w:pPr>
            <w:r w:rsidRPr="00E455B7">
              <w:rPr>
                <w:rFonts w:ascii="Arial" w:hAnsi="Arial"/>
                <w:b/>
                <w:sz w:val="18"/>
              </w:rPr>
              <w:t>Channel bandwidths for carrier [MHz]</w:t>
            </w:r>
          </w:p>
        </w:tc>
        <w:tc>
          <w:tcPr>
            <w:tcW w:w="1276" w:type="dxa"/>
            <w:tcBorders>
              <w:left w:val="single" w:sz="4" w:space="0" w:color="auto"/>
              <w:bottom w:val="single" w:sz="4" w:space="0" w:color="000000"/>
              <w:right w:val="single" w:sz="4" w:space="0" w:color="auto"/>
            </w:tcBorders>
          </w:tcPr>
          <w:p w14:paraId="5035CD3A"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b/>
                <w:bCs/>
                <w:sz w:val="18"/>
                <w:szCs w:val="18"/>
                <w:lang w:val="en-US" w:eastAsia="en-GB"/>
              </w:rPr>
            </w:pPr>
            <w:r w:rsidRPr="00E455B7">
              <w:rPr>
                <w:rFonts w:ascii="Arial" w:hAnsi="Arial"/>
                <w:b/>
                <w:bCs/>
                <w:sz w:val="18"/>
                <w:szCs w:val="18"/>
                <w:lang w:eastAsia="en-GB"/>
              </w:rPr>
              <w:t>Channel bandwidths for carrier [MHz]</w:t>
            </w:r>
          </w:p>
        </w:tc>
        <w:tc>
          <w:tcPr>
            <w:tcW w:w="1302" w:type="dxa"/>
            <w:vMerge/>
            <w:tcBorders>
              <w:left w:val="single" w:sz="4" w:space="0" w:color="auto"/>
              <w:bottom w:val="single" w:sz="4" w:space="0" w:color="000000"/>
              <w:right w:val="nil"/>
            </w:tcBorders>
            <w:vAlign w:val="center"/>
          </w:tcPr>
          <w:p w14:paraId="3B0F1A9D" w14:textId="77777777" w:rsidR="00E455B7" w:rsidRPr="00E455B7" w:rsidRDefault="00E455B7" w:rsidP="00E455B7">
            <w:pPr>
              <w:overflowPunct w:val="0"/>
              <w:autoSpaceDE w:val="0"/>
              <w:autoSpaceDN w:val="0"/>
              <w:adjustRightInd w:val="0"/>
              <w:spacing w:after="0"/>
              <w:textAlignment w:val="baseline"/>
              <w:rPr>
                <w:rFonts w:ascii="Arial" w:hAnsi="Arial" w:cs="Arial"/>
                <w:b/>
                <w:bCs/>
                <w:sz w:val="18"/>
                <w:szCs w:val="18"/>
                <w:lang w:val="en-US" w:eastAsia="en-GB"/>
              </w:rPr>
            </w:pPr>
          </w:p>
        </w:tc>
        <w:tc>
          <w:tcPr>
            <w:tcW w:w="1344" w:type="dxa"/>
            <w:vMerge/>
            <w:tcBorders>
              <w:left w:val="single" w:sz="4" w:space="0" w:color="auto"/>
              <w:bottom w:val="single" w:sz="4" w:space="0" w:color="000000"/>
              <w:right w:val="single" w:sz="4" w:space="0" w:color="auto"/>
            </w:tcBorders>
            <w:vAlign w:val="center"/>
          </w:tcPr>
          <w:p w14:paraId="4D7CCC21" w14:textId="77777777" w:rsidR="00E455B7" w:rsidRPr="00E455B7" w:rsidRDefault="00E455B7" w:rsidP="00E455B7">
            <w:pPr>
              <w:overflowPunct w:val="0"/>
              <w:autoSpaceDE w:val="0"/>
              <w:autoSpaceDN w:val="0"/>
              <w:adjustRightInd w:val="0"/>
              <w:spacing w:after="0"/>
              <w:textAlignment w:val="baseline"/>
              <w:rPr>
                <w:rFonts w:ascii="Arial" w:hAnsi="Arial" w:cs="Arial"/>
                <w:b/>
                <w:bCs/>
                <w:sz w:val="18"/>
                <w:szCs w:val="18"/>
                <w:lang w:val="en-US" w:eastAsia="en-GB"/>
              </w:rPr>
            </w:pPr>
          </w:p>
        </w:tc>
      </w:tr>
      <w:tr w:rsidR="00E455B7" w:rsidRPr="00E455B7" w14:paraId="69717793" w14:textId="77777777" w:rsidTr="00F27508">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44E44497"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455B7">
              <w:rPr>
                <w:rFonts w:ascii="Arial" w:hAnsi="Arial" w:cs="Arial"/>
                <w:sz w:val="18"/>
                <w:lang w:eastAsia="ja-JP"/>
              </w:rPr>
              <w:t>CA_</w:t>
            </w:r>
            <w:r w:rsidRPr="00E455B7">
              <w:rPr>
                <w:rFonts w:ascii="Arial" w:hAnsi="Arial" w:cs="Arial"/>
                <w:sz w:val="18"/>
                <w:lang w:eastAsia="zh-CN"/>
              </w:rPr>
              <w:t>1A-1A</w:t>
            </w:r>
          </w:p>
        </w:tc>
        <w:tc>
          <w:tcPr>
            <w:tcW w:w="1466" w:type="dxa"/>
            <w:tcBorders>
              <w:top w:val="single" w:sz="4" w:space="0" w:color="auto"/>
              <w:left w:val="nil"/>
              <w:bottom w:val="single" w:sz="4" w:space="0" w:color="auto"/>
              <w:right w:val="single" w:sz="4" w:space="0" w:color="auto"/>
            </w:tcBorders>
            <w:vAlign w:val="center"/>
          </w:tcPr>
          <w:p w14:paraId="042827BB"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88E05E"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lang w:val="en-US" w:eastAsia="en-GB"/>
              </w:rPr>
              <w:t>5, 10, 15, 20</w:t>
            </w:r>
          </w:p>
        </w:tc>
        <w:tc>
          <w:tcPr>
            <w:tcW w:w="1216" w:type="dxa"/>
            <w:tcBorders>
              <w:top w:val="nil"/>
              <w:left w:val="nil"/>
              <w:bottom w:val="single" w:sz="4" w:space="0" w:color="auto"/>
              <w:right w:val="single" w:sz="4" w:space="0" w:color="auto"/>
            </w:tcBorders>
            <w:shd w:val="clear" w:color="auto" w:fill="auto"/>
            <w:vAlign w:val="center"/>
          </w:tcPr>
          <w:p w14:paraId="051428CE"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lang w:val="en-US" w:eastAsia="en-GB"/>
              </w:rPr>
              <w:t>5, 10, 15, 20</w:t>
            </w:r>
          </w:p>
        </w:tc>
        <w:tc>
          <w:tcPr>
            <w:tcW w:w="1216" w:type="dxa"/>
            <w:tcBorders>
              <w:top w:val="single" w:sz="4" w:space="0" w:color="auto"/>
              <w:left w:val="nil"/>
              <w:bottom w:val="single" w:sz="4" w:space="0" w:color="auto"/>
              <w:right w:val="single" w:sz="4" w:space="0" w:color="auto"/>
            </w:tcBorders>
            <w:vAlign w:val="center"/>
          </w:tcPr>
          <w:p w14:paraId="716E1237"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216" w:type="dxa"/>
            <w:tcBorders>
              <w:top w:val="nil"/>
              <w:left w:val="single" w:sz="4" w:space="0" w:color="auto"/>
              <w:bottom w:val="single" w:sz="4" w:space="0" w:color="auto"/>
              <w:right w:val="single" w:sz="4" w:space="0" w:color="auto"/>
            </w:tcBorders>
          </w:tcPr>
          <w:p w14:paraId="26BDCEB4"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276" w:type="dxa"/>
            <w:tcBorders>
              <w:top w:val="nil"/>
              <w:left w:val="single" w:sz="4" w:space="0" w:color="auto"/>
              <w:bottom w:val="single" w:sz="4" w:space="0" w:color="auto"/>
              <w:right w:val="single" w:sz="4" w:space="0" w:color="auto"/>
            </w:tcBorders>
          </w:tcPr>
          <w:p w14:paraId="5AAF99A5"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DA62902"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szCs w:val="18"/>
                <w:lang w:val="en-US" w:eastAsia="en-GB"/>
              </w:rPr>
              <w:t>40</w:t>
            </w:r>
          </w:p>
        </w:tc>
        <w:tc>
          <w:tcPr>
            <w:tcW w:w="1344" w:type="dxa"/>
            <w:tcBorders>
              <w:top w:val="nil"/>
              <w:left w:val="nil"/>
              <w:bottom w:val="single" w:sz="4" w:space="0" w:color="auto"/>
              <w:right w:val="single" w:sz="4" w:space="0" w:color="auto"/>
            </w:tcBorders>
            <w:shd w:val="clear" w:color="auto" w:fill="auto"/>
            <w:noWrap/>
            <w:vAlign w:val="center"/>
          </w:tcPr>
          <w:p w14:paraId="0A7FF1F2"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E455B7">
              <w:rPr>
                <w:rFonts w:ascii="Arial" w:hAnsi="Arial" w:cs="Arial"/>
                <w:sz w:val="18"/>
                <w:szCs w:val="18"/>
                <w:lang w:val="en-US" w:eastAsia="en-GB"/>
              </w:rPr>
              <w:t>0</w:t>
            </w:r>
          </w:p>
        </w:tc>
      </w:tr>
      <w:tr w:rsidR="00E455B7" w:rsidRPr="00E455B7" w14:paraId="7FE9A7BA" w14:textId="77777777" w:rsidTr="00F27508">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4105381D"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rPr>
            </w:pPr>
            <w:r w:rsidRPr="00E455B7">
              <w:rPr>
                <w:rFonts w:ascii="Arial" w:hAnsi="Arial" w:cs="Arial"/>
                <w:sz w:val="18"/>
                <w:szCs w:val="18"/>
              </w:rPr>
              <w:t>CA_2A-2A</w:t>
            </w:r>
          </w:p>
        </w:tc>
        <w:tc>
          <w:tcPr>
            <w:tcW w:w="1466" w:type="dxa"/>
            <w:tcBorders>
              <w:top w:val="single" w:sz="4" w:space="0" w:color="auto"/>
              <w:left w:val="nil"/>
              <w:bottom w:val="single" w:sz="4" w:space="0" w:color="auto"/>
              <w:right w:val="single" w:sz="4" w:space="0" w:color="auto"/>
            </w:tcBorders>
            <w:vAlign w:val="center"/>
          </w:tcPr>
          <w:p w14:paraId="00469817"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455EE2"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1355C43F"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C5652F7"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nil"/>
              <w:left w:val="single" w:sz="4" w:space="0" w:color="auto"/>
              <w:bottom w:val="single" w:sz="4" w:space="0" w:color="auto"/>
              <w:right w:val="single" w:sz="4" w:space="0" w:color="auto"/>
            </w:tcBorders>
          </w:tcPr>
          <w:p w14:paraId="76B9C2C4"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76" w:type="dxa"/>
            <w:tcBorders>
              <w:top w:val="nil"/>
              <w:left w:val="single" w:sz="4" w:space="0" w:color="auto"/>
              <w:bottom w:val="single" w:sz="4" w:space="0" w:color="auto"/>
              <w:right w:val="single" w:sz="4" w:space="0" w:color="auto"/>
            </w:tcBorders>
          </w:tcPr>
          <w:p w14:paraId="4F71CEC4"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C160EE4"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55462AED"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0</w:t>
            </w:r>
          </w:p>
        </w:tc>
      </w:tr>
      <w:tr w:rsidR="00E455B7" w:rsidRPr="00E455B7" w14:paraId="3DA8F8B6" w14:textId="77777777" w:rsidTr="00F27508">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1D47E69"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rPr>
            </w:pPr>
            <w:r w:rsidRPr="00E455B7">
              <w:rPr>
                <w:rFonts w:ascii="Arial" w:hAnsi="Arial" w:cs="Arial"/>
                <w:sz w:val="18"/>
                <w:szCs w:val="18"/>
              </w:rPr>
              <w:t>CA_3A-3A</w:t>
            </w:r>
          </w:p>
        </w:tc>
        <w:tc>
          <w:tcPr>
            <w:tcW w:w="1466" w:type="dxa"/>
            <w:vMerge w:val="restart"/>
            <w:tcBorders>
              <w:top w:val="single" w:sz="4" w:space="0" w:color="auto"/>
              <w:left w:val="nil"/>
              <w:right w:val="single" w:sz="4" w:space="0" w:color="auto"/>
            </w:tcBorders>
            <w:vAlign w:val="center"/>
          </w:tcPr>
          <w:p w14:paraId="10025518"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eastAsia="Malgun Gothic" w:hAnsi="Arial" w:cs="Arial"/>
                <w:sz w:val="18"/>
                <w:szCs w:val="18"/>
                <w:lang w:val="en-US" w:eastAsia="en-GB"/>
              </w:rPr>
            </w:pPr>
            <w:r w:rsidRPr="00E455B7">
              <w:rPr>
                <w:rFonts w:ascii="Arial" w:eastAsia="Malgun Gothic" w:hAnsi="Arial" w:cs="Arial" w:hint="eastAsia"/>
                <w:sz w:val="18"/>
                <w:szCs w:val="18"/>
                <w:lang w:val="en-US" w:eastAsia="en-GB"/>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487301E"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114DC3CC"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F5D14DD"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nil"/>
              <w:left w:val="single" w:sz="4" w:space="0" w:color="auto"/>
              <w:bottom w:val="single" w:sz="4" w:space="0" w:color="auto"/>
              <w:right w:val="single" w:sz="4" w:space="0" w:color="auto"/>
            </w:tcBorders>
          </w:tcPr>
          <w:p w14:paraId="60F6657C"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76" w:type="dxa"/>
            <w:tcBorders>
              <w:top w:val="nil"/>
              <w:left w:val="single" w:sz="4" w:space="0" w:color="auto"/>
              <w:bottom w:val="single" w:sz="4" w:space="0" w:color="auto"/>
              <w:right w:val="single" w:sz="4" w:space="0" w:color="auto"/>
            </w:tcBorders>
          </w:tcPr>
          <w:p w14:paraId="67A021FB"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5449585"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328C20B"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0</w:t>
            </w:r>
          </w:p>
        </w:tc>
      </w:tr>
      <w:tr w:rsidR="00E455B7" w:rsidRPr="00E455B7" w14:paraId="17BE4EED" w14:textId="77777777" w:rsidTr="00F27508">
        <w:trPr>
          <w:trHeight w:val="360"/>
          <w:jc w:val="center"/>
        </w:trPr>
        <w:tc>
          <w:tcPr>
            <w:tcW w:w="1366" w:type="dxa"/>
            <w:vMerge/>
            <w:tcBorders>
              <w:left w:val="single" w:sz="4" w:space="0" w:color="auto"/>
              <w:right w:val="single" w:sz="4" w:space="0" w:color="auto"/>
            </w:tcBorders>
            <w:shd w:val="clear" w:color="auto" w:fill="auto"/>
            <w:vAlign w:val="center"/>
          </w:tcPr>
          <w:p w14:paraId="165A3A5B"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right w:val="single" w:sz="4" w:space="0" w:color="auto"/>
            </w:tcBorders>
            <w:vAlign w:val="center"/>
          </w:tcPr>
          <w:p w14:paraId="1E7D7F8A"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F9299BD"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4620C1E0"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eastAsia="zh-TW"/>
              </w:rPr>
              <w:t xml:space="preserve">5, 10, </w:t>
            </w:r>
            <w:r w:rsidRPr="00E455B7">
              <w:rPr>
                <w:rFonts w:ascii="Arial" w:hAnsi="Arial" w:cs="Arial"/>
                <w:sz w:val="18"/>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71BA7C86"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nil"/>
              <w:left w:val="single" w:sz="4" w:space="0" w:color="auto"/>
              <w:bottom w:val="single" w:sz="4" w:space="0" w:color="auto"/>
              <w:right w:val="single" w:sz="4" w:space="0" w:color="auto"/>
            </w:tcBorders>
          </w:tcPr>
          <w:p w14:paraId="1A480BD4"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zh-TW"/>
              </w:rPr>
            </w:pPr>
          </w:p>
        </w:tc>
        <w:tc>
          <w:tcPr>
            <w:tcW w:w="1276" w:type="dxa"/>
            <w:tcBorders>
              <w:top w:val="nil"/>
              <w:left w:val="single" w:sz="4" w:space="0" w:color="auto"/>
              <w:bottom w:val="single" w:sz="4" w:space="0" w:color="auto"/>
              <w:right w:val="single" w:sz="4" w:space="0" w:color="auto"/>
            </w:tcBorders>
          </w:tcPr>
          <w:p w14:paraId="58FA9443"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016BCC9"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23553AD2"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r w:rsidRPr="00E455B7">
              <w:rPr>
                <w:rFonts w:ascii="Arial" w:hAnsi="Arial" w:cs="Arial"/>
                <w:sz w:val="18"/>
                <w:szCs w:val="18"/>
                <w:lang w:val="en-US" w:eastAsia="zh-TW"/>
              </w:rPr>
              <w:t>1</w:t>
            </w:r>
          </w:p>
        </w:tc>
      </w:tr>
      <w:tr w:rsidR="00E455B7" w:rsidRPr="00E455B7" w14:paraId="6B278EDA" w14:textId="77777777" w:rsidTr="00F27508">
        <w:trPr>
          <w:trHeight w:val="360"/>
          <w:jc w:val="center"/>
        </w:trPr>
        <w:tc>
          <w:tcPr>
            <w:tcW w:w="1366" w:type="dxa"/>
            <w:vMerge/>
            <w:tcBorders>
              <w:left w:val="single" w:sz="4" w:space="0" w:color="auto"/>
              <w:right w:val="single" w:sz="4" w:space="0" w:color="auto"/>
            </w:tcBorders>
            <w:shd w:val="clear" w:color="auto" w:fill="auto"/>
            <w:vAlign w:val="center"/>
          </w:tcPr>
          <w:p w14:paraId="7AE69C42"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right w:val="single" w:sz="4" w:space="0" w:color="auto"/>
            </w:tcBorders>
            <w:vAlign w:val="center"/>
          </w:tcPr>
          <w:p w14:paraId="7C0578B9"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8F54F02"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E455B7">
              <w:rPr>
                <w:rFonts w:ascii="Arial" w:hAnsi="Arial" w:cs="Arial"/>
                <w:bCs/>
                <w:kern w:val="24"/>
                <w:sz w:val="18"/>
                <w:szCs w:val="18"/>
                <w:lang w:eastAsia="ja-JP"/>
              </w:rPr>
              <w:t>5</w:t>
            </w:r>
          </w:p>
        </w:tc>
        <w:tc>
          <w:tcPr>
            <w:tcW w:w="1216" w:type="dxa"/>
            <w:tcBorders>
              <w:top w:val="nil"/>
              <w:left w:val="nil"/>
              <w:bottom w:val="single" w:sz="4" w:space="0" w:color="auto"/>
              <w:right w:val="single" w:sz="4" w:space="0" w:color="auto"/>
            </w:tcBorders>
            <w:shd w:val="clear" w:color="auto" w:fill="auto"/>
            <w:vAlign w:val="center"/>
          </w:tcPr>
          <w:p w14:paraId="75E4FF07"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zh-TW"/>
              </w:rPr>
            </w:pPr>
            <w:r w:rsidRPr="00E455B7">
              <w:rPr>
                <w:rFonts w:ascii="Arial" w:hAnsi="Arial" w:cs="Arial"/>
                <w:bCs/>
                <w:kern w:val="24"/>
                <w:sz w:val="18"/>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6D18A0C2"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16" w:type="dxa"/>
            <w:tcBorders>
              <w:top w:val="nil"/>
              <w:left w:val="single" w:sz="4" w:space="0" w:color="auto"/>
              <w:bottom w:val="single" w:sz="4" w:space="0" w:color="auto"/>
              <w:right w:val="single" w:sz="4" w:space="0" w:color="auto"/>
            </w:tcBorders>
          </w:tcPr>
          <w:p w14:paraId="64DC1DFF"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zh-TW"/>
              </w:rPr>
            </w:pPr>
          </w:p>
        </w:tc>
        <w:tc>
          <w:tcPr>
            <w:tcW w:w="1276" w:type="dxa"/>
            <w:tcBorders>
              <w:top w:val="nil"/>
              <w:left w:val="single" w:sz="4" w:space="0" w:color="auto"/>
              <w:right w:val="single" w:sz="4" w:space="0" w:color="auto"/>
            </w:tcBorders>
          </w:tcPr>
          <w:p w14:paraId="6B77B2A6"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6A0D8389"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zh-TW"/>
              </w:rPr>
            </w:pPr>
            <w:r w:rsidRPr="00E455B7">
              <w:rPr>
                <w:rFonts w:ascii="Arial" w:hAnsi="Arial" w:cs="Arial"/>
                <w:sz w:val="18"/>
                <w:szCs w:val="18"/>
                <w:lang w:eastAsia="zh-CN"/>
              </w:rPr>
              <w:t>1</w:t>
            </w:r>
            <w:r w:rsidRPr="00E455B7">
              <w:rPr>
                <w:rFonts w:ascii="Arial" w:hAnsi="Arial" w:cs="Arial"/>
                <w:sz w:val="18"/>
                <w:szCs w:val="18"/>
                <w:lang w:eastAsia="ja-JP"/>
              </w:rPr>
              <w:t>0</w:t>
            </w:r>
          </w:p>
        </w:tc>
        <w:tc>
          <w:tcPr>
            <w:tcW w:w="1344" w:type="dxa"/>
            <w:vMerge w:val="restart"/>
            <w:tcBorders>
              <w:top w:val="nil"/>
              <w:left w:val="nil"/>
              <w:right w:val="single" w:sz="4" w:space="0" w:color="auto"/>
            </w:tcBorders>
            <w:shd w:val="clear" w:color="auto" w:fill="auto"/>
            <w:noWrap/>
            <w:vAlign w:val="center"/>
          </w:tcPr>
          <w:p w14:paraId="237C1B14"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zh-TW"/>
              </w:rPr>
            </w:pPr>
            <w:r w:rsidRPr="00E455B7">
              <w:rPr>
                <w:rFonts w:ascii="Arial" w:hAnsi="Arial" w:cs="Arial"/>
                <w:sz w:val="18"/>
                <w:szCs w:val="18"/>
                <w:lang w:eastAsia="zh-TW"/>
              </w:rPr>
              <w:t>2</w:t>
            </w:r>
          </w:p>
        </w:tc>
      </w:tr>
      <w:tr w:rsidR="00E455B7" w:rsidRPr="00E455B7" w14:paraId="4DB69612" w14:textId="77777777" w:rsidTr="00F27508">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7A03110"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bottom w:val="single" w:sz="4" w:space="0" w:color="auto"/>
              <w:right w:val="single" w:sz="4" w:space="0" w:color="auto"/>
            </w:tcBorders>
            <w:vAlign w:val="center"/>
          </w:tcPr>
          <w:p w14:paraId="07871400"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16E7AA"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E455B7">
              <w:rPr>
                <w:rFonts w:ascii="Arial" w:hAnsi="Arial" w:cs="Arial"/>
                <w:bCs/>
                <w:kern w:val="24"/>
                <w:sz w:val="18"/>
                <w:szCs w:val="18"/>
                <w:lang w:eastAsia="ja-JP"/>
              </w:rPr>
              <w:t>3, 5</w:t>
            </w:r>
          </w:p>
        </w:tc>
        <w:tc>
          <w:tcPr>
            <w:tcW w:w="1216" w:type="dxa"/>
            <w:tcBorders>
              <w:top w:val="nil"/>
              <w:left w:val="nil"/>
              <w:bottom w:val="single" w:sz="4" w:space="0" w:color="auto"/>
              <w:right w:val="single" w:sz="4" w:space="0" w:color="auto"/>
            </w:tcBorders>
            <w:shd w:val="clear" w:color="auto" w:fill="auto"/>
            <w:vAlign w:val="center"/>
          </w:tcPr>
          <w:p w14:paraId="5DC25047"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zh-TW"/>
              </w:rPr>
            </w:pPr>
            <w:r w:rsidRPr="00E455B7">
              <w:rPr>
                <w:rFonts w:ascii="Arial" w:hAnsi="Arial" w:cs="Arial"/>
                <w:bCs/>
                <w:kern w:val="24"/>
                <w:sz w:val="18"/>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028EA6BD"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16" w:type="dxa"/>
            <w:tcBorders>
              <w:top w:val="nil"/>
              <w:left w:val="single" w:sz="4" w:space="0" w:color="auto"/>
              <w:bottom w:val="single" w:sz="4" w:space="0" w:color="auto"/>
              <w:right w:val="single" w:sz="4" w:space="0" w:color="auto"/>
            </w:tcBorders>
          </w:tcPr>
          <w:p w14:paraId="359F4633"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eastAsia="zh-TW"/>
              </w:rPr>
            </w:pPr>
          </w:p>
        </w:tc>
        <w:tc>
          <w:tcPr>
            <w:tcW w:w="1276" w:type="dxa"/>
            <w:tcBorders>
              <w:left w:val="single" w:sz="4" w:space="0" w:color="auto"/>
              <w:bottom w:val="single" w:sz="4" w:space="0" w:color="auto"/>
              <w:right w:val="single" w:sz="4" w:space="0" w:color="auto"/>
            </w:tcBorders>
          </w:tcPr>
          <w:p w14:paraId="3A54EC72"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6FF9AB1"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6DE6ADD" w14:textId="77777777" w:rsidR="00E455B7" w:rsidRPr="00E455B7" w:rsidRDefault="00E455B7" w:rsidP="00E455B7">
            <w:pPr>
              <w:keepNext/>
              <w:keepLines/>
              <w:overflowPunct w:val="0"/>
              <w:autoSpaceDE w:val="0"/>
              <w:autoSpaceDN w:val="0"/>
              <w:adjustRightInd w:val="0"/>
              <w:spacing w:after="0"/>
              <w:jc w:val="center"/>
              <w:textAlignment w:val="baseline"/>
              <w:rPr>
                <w:rFonts w:ascii="Arial" w:hAnsi="Arial" w:cs="Arial"/>
                <w:sz w:val="18"/>
                <w:szCs w:val="18"/>
                <w:lang w:val="en-US"/>
              </w:rPr>
            </w:pPr>
          </w:p>
        </w:tc>
      </w:tr>
    </w:tbl>
    <w:p w14:paraId="284AE026" w14:textId="08F05DDA" w:rsidR="00E455B7" w:rsidRDefault="00E455B7" w:rsidP="00A209D6"/>
    <w:p w14:paraId="084D3C21" w14:textId="5580A4A6" w:rsidR="00E455B7" w:rsidRDefault="00E455B7" w:rsidP="00A209D6">
      <w:r w:rsidRPr="00E455B7">
        <w:rPr>
          <w:b/>
        </w:rPr>
        <w:t xml:space="preserve">Observation </w:t>
      </w:r>
      <w:r w:rsidR="00A00F4C">
        <w:rPr>
          <w:b/>
        </w:rPr>
        <w:t>5</w:t>
      </w:r>
      <w:r w:rsidRPr="00E455B7">
        <w:rPr>
          <w:b/>
        </w:rPr>
        <w:t>:</w:t>
      </w:r>
      <w:r>
        <w:t xml:space="preserve"> The ordering of intra-band non-contiguous entries is relevant for the support of BCS.</w:t>
      </w:r>
    </w:p>
    <w:p w14:paraId="50764714" w14:textId="1036533A" w:rsidR="00D36F60" w:rsidRDefault="00E455B7" w:rsidP="002E41D4">
      <w:r>
        <w:t xml:space="preserve">However, it is also obvious that MIMO layers and BCS support are quite different things, so we can’t say this can be used as an argument for the interpretation of MIMO layer capabilities. </w:t>
      </w:r>
    </w:p>
    <w:p w14:paraId="0F2387F4" w14:textId="43394826" w:rsidR="002E41D4" w:rsidRPr="006E13D1" w:rsidRDefault="002E41D4" w:rsidP="002E41D4">
      <w:r w:rsidRPr="00E455B7">
        <w:rPr>
          <w:b/>
        </w:rPr>
        <w:t xml:space="preserve">Observation </w:t>
      </w:r>
      <w:r w:rsidR="00A00F4C">
        <w:rPr>
          <w:b/>
        </w:rPr>
        <w:t>6</w:t>
      </w:r>
      <w:r w:rsidRPr="00E455B7">
        <w:rPr>
          <w:b/>
        </w:rPr>
        <w:t>:</w:t>
      </w:r>
      <w:r>
        <w:t xml:space="preserve"> The ordering of BCS is not directly related to the MIMO capabilities.</w:t>
      </w:r>
    </w:p>
    <w:p w14:paraId="5F01C058" w14:textId="56FADD47" w:rsidR="00A209D6" w:rsidRPr="006E13D1" w:rsidRDefault="00316159" w:rsidP="00A209D6">
      <w:pPr>
        <w:pStyle w:val="Heading2"/>
      </w:pPr>
      <w:r>
        <w:t>2</w:t>
      </w:r>
      <w:r w:rsidR="00A209D6" w:rsidRPr="006E13D1">
        <w:t>.</w:t>
      </w:r>
      <w:r w:rsidR="00D56D8E">
        <w:t>4</w:t>
      </w:r>
      <w:r w:rsidR="00A209D6" w:rsidRPr="006E13D1">
        <w:tab/>
      </w:r>
      <w:r w:rsidR="00D56D8E">
        <w:t xml:space="preserve">Interpreting </w:t>
      </w:r>
      <w:r>
        <w:t>UE capabili</w:t>
      </w:r>
      <w:r w:rsidR="00D56D8E">
        <w:t xml:space="preserve">ties </w:t>
      </w:r>
      <w:r>
        <w:t>intra-band non-contiguous</w:t>
      </w:r>
      <w:r w:rsidR="00D56D8E">
        <w:t xml:space="preserve"> BCs</w:t>
      </w:r>
    </w:p>
    <w:p w14:paraId="4BE9A4AB" w14:textId="189D103A" w:rsidR="00316159" w:rsidRDefault="002E41D4" w:rsidP="00A209D6">
      <w:r>
        <w:t>Finally, to make the question more practical, how</w:t>
      </w:r>
      <w:r w:rsidR="00316159">
        <w:t xml:space="preserve"> should the UE indicate its capabilities </w:t>
      </w:r>
      <w:r>
        <w:t xml:space="preserve">if </w:t>
      </w:r>
      <w:r w:rsidR="00316159">
        <w:t>it supports order-agnostic MIMO with CA_xA_xA?</w:t>
      </w:r>
      <w:r>
        <w:t xml:space="preserve"> Should it indicate</w:t>
      </w:r>
    </w:p>
    <w:p w14:paraId="0FCBCD4D" w14:textId="0A438C8A" w:rsidR="00E455B7" w:rsidRDefault="00E455B7" w:rsidP="00E455B7">
      <w:pPr>
        <w:pStyle w:val="ListParagraph"/>
        <w:numPr>
          <w:ilvl w:val="0"/>
          <w:numId w:val="8"/>
        </w:numPr>
      </w:pPr>
      <w:r>
        <w:lastRenderedPageBreak/>
        <w:t>Duplicate band combination entries, each with different MIMO layer ordering (i.e. one BC with (2,4) MIMO layers and one with (4,2) MIMO layers?</w:t>
      </w:r>
      <w:r w:rsidR="002E41D4">
        <w:br/>
        <w:t>OR</w:t>
      </w:r>
    </w:p>
    <w:p w14:paraId="39981B64" w14:textId="1321C851" w:rsidR="00E455B7" w:rsidRDefault="00E455B7" w:rsidP="00E455B7">
      <w:pPr>
        <w:pStyle w:val="ListParagraph"/>
        <w:numPr>
          <w:ilvl w:val="0"/>
          <w:numId w:val="8"/>
        </w:numPr>
      </w:pPr>
      <w:r>
        <w:t xml:space="preserve">Single band combination with </w:t>
      </w:r>
      <w:r w:rsidR="002E41D4">
        <w:t>e.g. (4,2)</w:t>
      </w:r>
      <w:r>
        <w:t xml:space="preserve"> </w:t>
      </w:r>
      <w:r w:rsidR="002E41D4">
        <w:t xml:space="preserve">MIMO layers </w:t>
      </w:r>
      <w:r>
        <w:t xml:space="preserve">(assuming network comprehends this </w:t>
      </w:r>
      <w:r w:rsidR="002E41D4">
        <w:t>applies for either ordering</w:t>
      </w:r>
      <w:r>
        <w:t>)?</w:t>
      </w:r>
    </w:p>
    <w:p w14:paraId="1582D276" w14:textId="757AE788" w:rsidR="002E41D4" w:rsidRDefault="002E41D4" w:rsidP="00A209D6">
      <w:r>
        <w:t>From network viewpoint, both capabilities are valid but either has its issues: For 1), it is clear that UE supports both orderings, but does it also mean that such a UE may NOT support all orderings in case it uses 2) for some intra-band non-contiguous BC? And similarly, for 2), is it clear that this UE only supports  (4,2) and not (2,4), or does it always support both orderings if it never duplicates the BCs for any intra-band non-contiguous cases?</w:t>
      </w:r>
    </w:p>
    <w:p w14:paraId="0711530E" w14:textId="0791BD77" w:rsidR="002E41D4" w:rsidRDefault="002E41D4" w:rsidP="00A209D6">
      <w:r w:rsidRPr="00E455B7">
        <w:rPr>
          <w:b/>
        </w:rPr>
        <w:t xml:space="preserve">Observation </w:t>
      </w:r>
      <w:r w:rsidR="00A00F4C">
        <w:rPr>
          <w:b/>
        </w:rPr>
        <w:t>7</w:t>
      </w:r>
      <w:r w:rsidRPr="00E455B7">
        <w:rPr>
          <w:b/>
        </w:rPr>
        <w:t>:</w:t>
      </w:r>
      <w:r>
        <w:t xml:space="preserve"> The intrepretation of UE capabilities is unclear </w:t>
      </w:r>
      <w:r w:rsidR="00D56D8E">
        <w:t>at least in some cases for the intra-band non-contigous BCs</w:t>
      </w:r>
      <w:r>
        <w:t>.</w:t>
      </w:r>
    </w:p>
    <w:p w14:paraId="751A605D" w14:textId="0AFE3C2D" w:rsidR="002E41D4" w:rsidRDefault="002E41D4" w:rsidP="002E41D4">
      <w:r>
        <w:t xml:space="preserve">Unfortunately, </w:t>
      </w:r>
      <w:r w:rsidR="00D56D8E">
        <w:t xml:space="preserve">we have observed </w:t>
      </w:r>
      <w:r>
        <w:t>both types of UEs can be seen in the field. At least in some cases, both types of UEs still do support both orderings, but since this is not clear in specifications it should be clarified whether this applies also to all UEs. Therefore, we would like to clarify what the common understanding in RAN2 is with regard to this to minimize any IODT issues.</w:t>
      </w:r>
    </w:p>
    <w:p w14:paraId="0FEFD190" w14:textId="77777777" w:rsidR="002E41D4" w:rsidRPr="006E13D1" w:rsidRDefault="002E41D4" w:rsidP="002E41D4">
      <w:r w:rsidRPr="00316159">
        <w:rPr>
          <w:b/>
        </w:rPr>
        <w:t>Proposal 1:</w:t>
      </w:r>
      <w:r>
        <w:t xml:space="preserve"> RAN2 to clarify what is the common understanding on MIMO layer and CSI processing capabilities with intra-band non-contiguous CA: E.g. If UE supports (2, 4) MIMO layers with CA_xA_xA, will it also support (4, 2) MIMO layers with CA_xA_xA?</w:t>
      </w:r>
    </w:p>
    <w:p w14:paraId="18728E8F" w14:textId="1C5DB47C" w:rsidR="00D56D8E" w:rsidRDefault="00D56D8E" w:rsidP="00A209D6">
      <w:r w:rsidRPr="00D56D8E">
        <w:rPr>
          <w:b/>
        </w:rPr>
        <w:t>Proposal 2:</w:t>
      </w:r>
      <w:r>
        <w:t xml:space="preserve"> Capture a clarification in TS36.331 and/or TS36.306 to ensure specifications are clear about the UE capability indications intra-band non-contiguous CA band combinations.</w:t>
      </w:r>
    </w:p>
    <w:p w14:paraId="51E1BAD5" w14:textId="672515D8" w:rsidR="004C1A6A" w:rsidRDefault="004C1A6A" w:rsidP="00A209D6">
      <w:r w:rsidRPr="004C1A6A">
        <w:rPr>
          <w:b/>
        </w:rPr>
        <w:t>Proposal 3:</w:t>
      </w:r>
      <w:r>
        <w:t xml:space="preserve"> A clarification should be introduced from early enough release</w:t>
      </w:r>
      <w:r w:rsidR="004C0D6F">
        <w:t xml:space="preserve"> (e.g. Rel-12)</w:t>
      </w:r>
      <w:r>
        <w:t xml:space="preserve"> to ensure all UE and network implementations comprehend it in the same way.</w:t>
      </w:r>
    </w:p>
    <w:p w14:paraId="5FF2457F" w14:textId="03FF9D59" w:rsidR="00A209D6" w:rsidRPr="006E13D1" w:rsidRDefault="00D56D8E" w:rsidP="00A209D6">
      <w:pPr>
        <w:pStyle w:val="Heading1"/>
      </w:pPr>
      <w:r>
        <w:t>3</w:t>
      </w:r>
      <w:r w:rsidR="00A209D6" w:rsidRPr="006E13D1">
        <w:tab/>
      </w:r>
      <w:r w:rsidR="008C3057">
        <w:t>Conclusion</w:t>
      </w:r>
    </w:p>
    <w:p w14:paraId="6C60FFDC" w14:textId="24342A19" w:rsidR="00A209D6" w:rsidRDefault="00D56D8E" w:rsidP="00A209D6">
      <w:r>
        <w:t>We have discussed the capability indications for intra-band contiguous and non-contiguous band combinations, with the following observations and proposals.</w:t>
      </w:r>
    </w:p>
    <w:p w14:paraId="5701F788" w14:textId="77777777" w:rsidR="00D56D8E" w:rsidRDefault="00D56D8E" w:rsidP="00D56D8E">
      <w:r w:rsidRPr="00316159">
        <w:rPr>
          <w:b/>
        </w:rPr>
        <w:t>Observation 1:</w:t>
      </w:r>
      <w:r>
        <w:t xml:space="preserve"> Intra-band contiguous CA capabilities are all contained within a single band entry of a band combination, while intra-band non-contiguous CA capabilities require at least two band entries.</w:t>
      </w:r>
    </w:p>
    <w:p w14:paraId="01820A55" w14:textId="77777777" w:rsidR="00D56D8E" w:rsidRDefault="00D56D8E" w:rsidP="00D56D8E">
      <w:r w:rsidRPr="00C35D61">
        <w:rPr>
          <w:b/>
        </w:rPr>
        <w:t xml:space="preserve">Observation </w:t>
      </w:r>
      <w:r>
        <w:rPr>
          <w:b/>
        </w:rPr>
        <w:t>2</w:t>
      </w:r>
      <w:r w:rsidRPr="00C35D61">
        <w:rPr>
          <w:b/>
        </w:rPr>
        <w:t>:</w:t>
      </w:r>
      <w:r>
        <w:t xml:space="preserve"> For intra-band contiguous carriers, UE band combination capabilities specify that UE supports any ordering of the capabilities.</w:t>
      </w:r>
    </w:p>
    <w:p w14:paraId="74D2FDE5" w14:textId="77777777" w:rsidR="00D56D8E" w:rsidRDefault="00D56D8E" w:rsidP="00D56D8E">
      <w:r w:rsidRPr="00C35D61">
        <w:rPr>
          <w:b/>
        </w:rPr>
        <w:t xml:space="preserve">Observation </w:t>
      </w:r>
      <w:r>
        <w:rPr>
          <w:b/>
        </w:rPr>
        <w:t>3</w:t>
      </w:r>
      <w:r w:rsidRPr="00C35D61">
        <w:rPr>
          <w:b/>
        </w:rPr>
        <w:t>:</w:t>
      </w:r>
      <w:r>
        <w:t xml:space="preserve"> UE band combination capabilities do not clearly specify whether capabilities applicable for different carriers in case of intra-band non-contiguous behave similarly as with intra-band contiguous CA.</w:t>
      </w:r>
    </w:p>
    <w:p w14:paraId="4693C55A" w14:textId="77777777" w:rsidR="00A00F4C" w:rsidRDefault="00A00F4C" w:rsidP="00A00F4C">
      <w:r w:rsidRPr="00C35D61">
        <w:rPr>
          <w:b/>
        </w:rPr>
        <w:t xml:space="preserve">Observation </w:t>
      </w:r>
      <w:r>
        <w:rPr>
          <w:b/>
        </w:rPr>
        <w:t>4</w:t>
      </w:r>
      <w:r w:rsidRPr="00C35D61">
        <w:rPr>
          <w:b/>
        </w:rPr>
        <w:t>:</w:t>
      </w:r>
      <w:r>
        <w:t xml:space="preserve"> If the MIMO capabilities are not agnostic to the order in which they are indicated for intra-band non-contigous band combinations, network may under-utilize the UE capabilities or require additional reconfigurations to utilize them fully.</w:t>
      </w:r>
    </w:p>
    <w:p w14:paraId="5D634209" w14:textId="7D1E21AB" w:rsidR="00D56D8E" w:rsidRDefault="00D56D8E" w:rsidP="00D56D8E">
      <w:r w:rsidRPr="00E455B7">
        <w:rPr>
          <w:b/>
        </w:rPr>
        <w:t xml:space="preserve">Observation </w:t>
      </w:r>
      <w:r w:rsidR="00A00F4C">
        <w:rPr>
          <w:b/>
        </w:rPr>
        <w:t>5</w:t>
      </w:r>
      <w:r w:rsidRPr="00E455B7">
        <w:rPr>
          <w:b/>
        </w:rPr>
        <w:t>:</w:t>
      </w:r>
      <w:r>
        <w:t xml:space="preserve"> The ordering of intra-band non-contiguous entries is relevant for the support of BCS.</w:t>
      </w:r>
    </w:p>
    <w:p w14:paraId="43E944C9" w14:textId="07FE9A1B" w:rsidR="00D56D8E" w:rsidRPr="006E13D1" w:rsidRDefault="00D56D8E" w:rsidP="00D56D8E">
      <w:r w:rsidRPr="00E455B7">
        <w:rPr>
          <w:b/>
        </w:rPr>
        <w:t xml:space="preserve">Observation </w:t>
      </w:r>
      <w:r w:rsidR="00A00F4C">
        <w:rPr>
          <w:b/>
        </w:rPr>
        <w:t>6</w:t>
      </w:r>
      <w:r w:rsidRPr="00E455B7">
        <w:rPr>
          <w:b/>
        </w:rPr>
        <w:t>:</w:t>
      </w:r>
      <w:r>
        <w:t xml:space="preserve"> The ordering of BCS is not directly related to the MIMO capabilities.</w:t>
      </w:r>
    </w:p>
    <w:p w14:paraId="6700B3FA" w14:textId="4D6AB062" w:rsidR="00D56D8E" w:rsidRDefault="00D56D8E" w:rsidP="00D56D8E">
      <w:r w:rsidRPr="00E455B7">
        <w:rPr>
          <w:b/>
        </w:rPr>
        <w:t xml:space="preserve">Observation </w:t>
      </w:r>
      <w:r w:rsidR="00A00F4C">
        <w:rPr>
          <w:b/>
        </w:rPr>
        <w:t>7</w:t>
      </w:r>
      <w:r w:rsidRPr="00E455B7">
        <w:rPr>
          <w:b/>
        </w:rPr>
        <w:t>:</w:t>
      </w:r>
      <w:r>
        <w:t xml:space="preserve"> The intrepretation of UE capabilities is unclear at least in some cases for the intra-band non-contigous BCs.</w:t>
      </w:r>
    </w:p>
    <w:p w14:paraId="2105594F" w14:textId="77777777" w:rsidR="00D56D8E" w:rsidRPr="006E13D1" w:rsidRDefault="00D56D8E" w:rsidP="00D56D8E">
      <w:r w:rsidRPr="00316159">
        <w:rPr>
          <w:b/>
        </w:rPr>
        <w:t>Proposal 1:</w:t>
      </w:r>
      <w:r>
        <w:t xml:space="preserve"> RAN2 to clarify what is the common understanding on MIMO layer and CSI processing capabilities with intra-band non-contiguous CA: E.g. If UE supports (2, 4) MIMO layers with CA_xA_xA, will it also support (4, 2) MIMO layers with CA_xA_xA?</w:t>
      </w:r>
    </w:p>
    <w:p w14:paraId="653FFD38" w14:textId="77777777" w:rsidR="00D56D8E" w:rsidRDefault="00D56D8E" w:rsidP="00D56D8E">
      <w:r w:rsidRPr="00D56D8E">
        <w:rPr>
          <w:b/>
        </w:rPr>
        <w:t>Proposal 2:</w:t>
      </w:r>
      <w:r>
        <w:t xml:space="preserve"> Capture a clarification in TS36.331 and/or TS36.306 to ensure specifications are clear about the UE capability indications intra-band non-contiguous CA band combinations.</w:t>
      </w:r>
    </w:p>
    <w:p w14:paraId="35F222F4" w14:textId="17D951DF" w:rsidR="00080512" w:rsidRPr="00A209D6" w:rsidRDefault="004C1A6A">
      <w:r w:rsidRPr="004C1A6A">
        <w:rPr>
          <w:b/>
        </w:rPr>
        <w:t>Proposal 3:</w:t>
      </w:r>
      <w:r>
        <w:t xml:space="preserve"> A clarification should be introduced from early enough release </w:t>
      </w:r>
      <w:r w:rsidR="004C0D6F">
        <w:t xml:space="preserve">(e.g. Rel-12) </w:t>
      </w:r>
      <w:r>
        <w:t>to ensure all UE and network implementations comprehend it in the same way.</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92DD1" w14:textId="77777777" w:rsidR="00D46C04" w:rsidRDefault="00D46C04">
      <w:r>
        <w:separator/>
      </w:r>
    </w:p>
  </w:endnote>
  <w:endnote w:type="continuationSeparator" w:id="0">
    <w:p w14:paraId="19336F6D" w14:textId="77777777" w:rsidR="00D46C04" w:rsidRDefault="00D46C04">
      <w:r>
        <w:continuationSeparator/>
      </w:r>
    </w:p>
  </w:endnote>
  <w:endnote w:type="continuationNotice" w:id="1">
    <w:p w14:paraId="592CEC38" w14:textId="77777777" w:rsidR="00D46C04" w:rsidRDefault="00D46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010DF" w14:textId="77777777" w:rsidR="00D46C04" w:rsidRDefault="00D46C04">
      <w:r>
        <w:separator/>
      </w:r>
    </w:p>
  </w:footnote>
  <w:footnote w:type="continuationSeparator" w:id="0">
    <w:p w14:paraId="6AFE52F8" w14:textId="77777777" w:rsidR="00D46C04" w:rsidRDefault="00D46C04">
      <w:r>
        <w:continuationSeparator/>
      </w:r>
    </w:p>
  </w:footnote>
  <w:footnote w:type="continuationNotice" w:id="1">
    <w:p w14:paraId="60EE178B" w14:textId="77777777" w:rsidR="00D46C04" w:rsidRDefault="00D46C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4C7722"/>
    <w:multiLevelType w:val="hybridMultilevel"/>
    <w:tmpl w:val="7362F4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3A1F"/>
    <w:rsid w:val="00040095"/>
    <w:rsid w:val="00073C9C"/>
    <w:rsid w:val="00080512"/>
    <w:rsid w:val="00090468"/>
    <w:rsid w:val="00094568"/>
    <w:rsid w:val="000B7BCF"/>
    <w:rsid w:val="000C522B"/>
    <w:rsid w:val="000D58AB"/>
    <w:rsid w:val="000F3DFD"/>
    <w:rsid w:val="00112F1A"/>
    <w:rsid w:val="00145075"/>
    <w:rsid w:val="001741A0"/>
    <w:rsid w:val="00175FA0"/>
    <w:rsid w:val="00184A89"/>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956DE"/>
    <w:rsid w:val="002A2C4A"/>
    <w:rsid w:val="002E41D4"/>
    <w:rsid w:val="002F0D22"/>
    <w:rsid w:val="003068B3"/>
    <w:rsid w:val="00311B17"/>
    <w:rsid w:val="00316159"/>
    <w:rsid w:val="003172DC"/>
    <w:rsid w:val="00325AE3"/>
    <w:rsid w:val="00326069"/>
    <w:rsid w:val="003306E6"/>
    <w:rsid w:val="0035462D"/>
    <w:rsid w:val="00364B41"/>
    <w:rsid w:val="00383096"/>
    <w:rsid w:val="00387843"/>
    <w:rsid w:val="003A41EF"/>
    <w:rsid w:val="003B40AD"/>
    <w:rsid w:val="003C4E37"/>
    <w:rsid w:val="003E16BE"/>
    <w:rsid w:val="003F4E28"/>
    <w:rsid w:val="004006E8"/>
    <w:rsid w:val="00401855"/>
    <w:rsid w:val="00454F9C"/>
    <w:rsid w:val="004636A2"/>
    <w:rsid w:val="00465587"/>
    <w:rsid w:val="00477455"/>
    <w:rsid w:val="004A1F7B"/>
    <w:rsid w:val="004C0D6F"/>
    <w:rsid w:val="004C1A6A"/>
    <w:rsid w:val="004C2967"/>
    <w:rsid w:val="004C44D2"/>
    <w:rsid w:val="004D3578"/>
    <w:rsid w:val="004D380D"/>
    <w:rsid w:val="004E213A"/>
    <w:rsid w:val="00503171"/>
    <w:rsid w:val="00506C28"/>
    <w:rsid w:val="005237EE"/>
    <w:rsid w:val="00534DA0"/>
    <w:rsid w:val="00543E6C"/>
    <w:rsid w:val="00565087"/>
    <w:rsid w:val="0056573F"/>
    <w:rsid w:val="00572048"/>
    <w:rsid w:val="00611566"/>
    <w:rsid w:val="00646D99"/>
    <w:rsid w:val="00656910"/>
    <w:rsid w:val="006574C0"/>
    <w:rsid w:val="006C66D8"/>
    <w:rsid w:val="006D1E24"/>
    <w:rsid w:val="006E1417"/>
    <w:rsid w:val="006F6A2C"/>
    <w:rsid w:val="007069DC"/>
    <w:rsid w:val="00710201"/>
    <w:rsid w:val="0072073A"/>
    <w:rsid w:val="007342B5"/>
    <w:rsid w:val="00734A5B"/>
    <w:rsid w:val="007351E9"/>
    <w:rsid w:val="00744E76"/>
    <w:rsid w:val="00757D40"/>
    <w:rsid w:val="007662B5"/>
    <w:rsid w:val="00775DB9"/>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9562E"/>
    <w:rsid w:val="008B5306"/>
    <w:rsid w:val="008C2E2A"/>
    <w:rsid w:val="008C3057"/>
    <w:rsid w:val="008D2E4D"/>
    <w:rsid w:val="008F396F"/>
    <w:rsid w:val="008F3DCD"/>
    <w:rsid w:val="0090271F"/>
    <w:rsid w:val="00902B04"/>
    <w:rsid w:val="00902DB9"/>
    <w:rsid w:val="0090466A"/>
    <w:rsid w:val="00905454"/>
    <w:rsid w:val="00923655"/>
    <w:rsid w:val="00936071"/>
    <w:rsid w:val="009376CD"/>
    <w:rsid w:val="00940212"/>
    <w:rsid w:val="00942EC2"/>
    <w:rsid w:val="00961B32"/>
    <w:rsid w:val="00962509"/>
    <w:rsid w:val="00970DB3"/>
    <w:rsid w:val="00974BB0"/>
    <w:rsid w:val="00975BCD"/>
    <w:rsid w:val="009A0AF3"/>
    <w:rsid w:val="009B07CD"/>
    <w:rsid w:val="009C19E9"/>
    <w:rsid w:val="009D74A6"/>
    <w:rsid w:val="00A00F4C"/>
    <w:rsid w:val="00A10F02"/>
    <w:rsid w:val="00A1604E"/>
    <w:rsid w:val="00A204CA"/>
    <w:rsid w:val="00A209D6"/>
    <w:rsid w:val="00A53724"/>
    <w:rsid w:val="00A54B2B"/>
    <w:rsid w:val="00A82346"/>
    <w:rsid w:val="00A9671C"/>
    <w:rsid w:val="00AA1553"/>
    <w:rsid w:val="00AE2301"/>
    <w:rsid w:val="00B03E2B"/>
    <w:rsid w:val="00B05380"/>
    <w:rsid w:val="00B05962"/>
    <w:rsid w:val="00B15449"/>
    <w:rsid w:val="00B16C2F"/>
    <w:rsid w:val="00B27303"/>
    <w:rsid w:val="00B47FD1"/>
    <w:rsid w:val="00B516BB"/>
    <w:rsid w:val="00B802F5"/>
    <w:rsid w:val="00B84DB2"/>
    <w:rsid w:val="00B93053"/>
    <w:rsid w:val="00BC3555"/>
    <w:rsid w:val="00BF5E67"/>
    <w:rsid w:val="00C12B51"/>
    <w:rsid w:val="00C24650"/>
    <w:rsid w:val="00C25465"/>
    <w:rsid w:val="00C33079"/>
    <w:rsid w:val="00C35D61"/>
    <w:rsid w:val="00C83A13"/>
    <w:rsid w:val="00C86B86"/>
    <w:rsid w:val="00C9068C"/>
    <w:rsid w:val="00C92967"/>
    <w:rsid w:val="00CA3D0C"/>
    <w:rsid w:val="00CA654B"/>
    <w:rsid w:val="00CB72B8"/>
    <w:rsid w:val="00CD22BE"/>
    <w:rsid w:val="00CD4C7B"/>
    <w:rsid w:val="00CD58FE"/>
    <w:rsid w:val="00D33BE3"/>
    <w:rsid w:val="00D36F60"/>
    <w:rsid w:val="00D3792D"/>
    <w:rsid w:val="00D46C04"/>
    <w:rsid w:val="00D55E47"/>
    <w:rsid w:val="00D56818"/>
    <w:rsid w:val="00D56D8E"/>
    <w:rsid w:val="00D62E19"/>
    <w:rsid w:val="00D67CD1"/>
    <w:rsid w:val="00D738D6"/>
    <w:rsid w:val="00D80795"/>
    <w:rsid w:val="00D854BE"/>
    <w:rsid w:val="00D87E00"/>
    <w:rsid w:val="00D9134D"/>
    <w:rsid w:val="00D96D11"/>
    <w:rsid w:val="00DA5BC5"/>
    <w:rsid w:val="00DA7A03"/>
    <w:rsid w:val="00DB0DB8"/>
    <w:rsid w:val="00DB1818"/>
    <w:rsid w:val="00DC309B"/>
    <w:rsid w:val="00DC4DA2"/>
    <w:rsid w:val="00DC5261"/>
    <w:rsid w:val="00DE25D2"/>
    <w:rsid w:val="00E31C13"/>
    <w:rsid w:val="00E455B7"/>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455B7"/>
    <w:pPr>
      <w:ind w:left="720"/>
      <w:contextualSpacing/>
    </w:pPr>
  </w:style>
  <w:style w:type="character" w:styleId="CommentReference">
    <w:name w:val="annotation reference"/>
    <w:basedOn w:val="DefaultParagraphFont"/>
    <w:rsid w:val="004C2967"/>
    <w:rPr>
      <w:sz w:val="16"/>
      <w:szCs w:val="16"/>
    </w:rPr>
  </w:style>
  <w:style w:type="paragraph" w:styleId="CommentText">
    <w:name w:val="annotation text"/>
    <w:basedOn w:val="Normal"/>
    <w:link w:val="CommentTextChar"/>
    <w:rsid w:val="004C2967"/>
  </w:style>
  <w:style w:type="character" w:customStyle="1" w:styleId="CommentTextChar">
    <w:name w:val="Comment Text Char"/>
    <w:basedOn w:val="DefaultParagraphFont"/>
    <w:link w:val="CommentText"/>
    <w:rsid w:val="004C2967"/>
    <w:rPr>
      <w:lang w:eastAsia="en-US"/>
    </w:rPr>
  </w:style>
  <w:style w:type="paragraph" w:styleId="CommentSubject">
    <w:name w:val="annotation subject"/>
    <w:basedOn w:val="CommentText"/>
    <w:next w:val="CommentText"/>
    <w:link w:val="CommentSubjectChar"/>
    <w:rsid w:val="004C2967"/>
    <w:rPr>
      <w:b/>
      <w:bCs/>
    </w:rPr>
  </w:style>
  <w:style w:type="character" w:customStyle="1" w:styleId="CommentSubjectChar">
    <w:name w:val="Comment Subject Char"/>
    <w:basedOn w:val="CommentTextChar"/>
    <w:link w:val="CommentSubject"/>
    <w:rsid w:val="004C296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0489">
      <w:bodyDiv w:val="1"/>
      <w:marLeft w:val="0"/>
      <w:marRight w:val="0"/>
      <w:marTop w:val="0"/>
      <w:marBottom w:val="0"/>
      <w:divBdr>
        <w:top w:val="none" w:sz="0" w:space="0" w:color="auto"/>
        <w:left w:val="none" w:sz="0" w:space="0" w:color="auto"/>
        <w:bottom w:val="none" w:sz="0" w:space="0" w:color="auto"/>
        <w:right w:val="none" w:sz="0" w:space="0" w:color="auto"/>
      </w:divBdr>
    </w:div>
    <w:div w:id="360712769">
      <w:bodyDiv w:val="1"/>
      <w:marLeft w:val="0"/>
      <w:marRight w:val="0"/>
      <w:marTop w:val="0"/>
      <w:marBottom w:val="0"/>
      <w:divBdr>
        <w:top w:val="none" w:sz="0" w:space="0" w:color="auto"/>
        <w:left w:val="none" w:sz="0" w:space="0" w:color="auto"/>
        <w:bottom w:val="none" w:sz="0" w:space="0" w:color="auto"/>
        <w:right w:val="none" w:sz="0" w:space="0" w:color="auto"/>
      </w:divBdr>
    </w:div>
    <w:div w:id="68524998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259286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780633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64953796">
      <w:bodyDiv w:val="1"/>
      <w:marLeft w:val="0"/>
      <w:marRight w:val="0"/>
      <w:marTop w:val="0"/>
      <w:marBottom w:val="0"/>
      <w:divBdr>
        <w:top w:val="none" w:sz="0" w:space="0" w:color="auto"/>
        <w:left w:val="none" w:sz="0" w:space="0" w:color="auto"/>
        <w:bottom w:val="none" w:sz="0" w:space="0" w:color="auto"/>
        <w:right w:val="none" w:sz="0" w:space="0" w:color="auto"/>
      </w:divBdr>
    </w:div>
    <w:div w:id="20805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5AIRPNAIUNRU-859666464-6008</_dlc_DocId>
    <_dlc_DocIdUrl xmlns="71c5aaf6-e6ce-465b-b873-5148d2a4c105">
      <Url>https://nokia.sharepoint.com/sites/c5g/e2earch/_layouts/15/DocIdRedir.aspx?ID=5AIRPNAIUNRU-859666464-6008</Url>
      <Description>5AIRPNAIUNRU-859666464-6008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E0F6EE7C-4F66-40E5-8541-0A4562733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114</TotalTime>
  <Pages>4</Pages>
  <Words>1967</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28</cp:revision>
  <dcterms:created xsi:type="dcterms:W3CDTF">2020-01-10T12:29:00Z</dcterms:created>
  <dcterms:modified xsi:type="dcterms:W3CDTF">2020-02-13T19:10:00Z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c4aefd13-61e2-458e-8d92-c9a4794a2098</vt:lpwstr>
  </property>
</Properties>
</file>